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BCOM/017J/2024</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APP/JAB/2022/000200</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MUCHANGI MURIMI VICTOR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85</w:t>
      </w:r>
      <w:r w:rsidR="0078004E">
        <w:rPr>
          <w:rFonts w:ascii="Arial" w:eastAsia="Arial" w:hAnsi="Arial" w:cs="Arial"/>
          <w:sz w:val="22"/>
          <w:lang w:val="en-US"/>
        </w:rPr>
        <w:t xml:space="preserve"> - </w:t>
      </w:r>
      <w:r w:rsidR="00AF015C">
        <w:rPr>
          <w:rFonts w:ascii="Arial" w:eastAsia="Arial" w:hAnsi="Arial" w:cs="Arial"/>
          <w:sz w:val="22"/>
          <w:lang w:val="en-US"/>
        </w:rPr>
        <w:t>+254</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NAIROBI</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MUCHANGI MURIMI VICTOR</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ACCOUNTANCY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ACCOUNTANCY.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Accounting and Finance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01-01-2024</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30-04-2024</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