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0DB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4" w:hRule="atLeast"/>
        </w:trPr>
        <w:tc>
          <w:tcPr>
            <w:tcW w:w="9360" w:type="dxa"/>
            <w:shd w:val="clear" w:color="auto" w:fill="4F81BD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A398E4">
            <w:pPr>
              <w:bidi w:val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Feasib</w:t>
            </w:r>
            <w:bookmarkStart w:id="0" w:name="_GoBack"/>
            <w:bookmarkEnd w:id="0"/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ility Study</w:t>
            </w:r>
            <w:r>
              <w:rPr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—</w:t>
            </w: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Course Registration System Project</w:t>
            </w:r>
          </w:p>
        </w:tc>
      </w:tr>
      <w:tr w14:paraId="76E76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bottom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E619">
            <w:pPr>
              <w:spacing w:before="100"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Technical Feasibility:</w:t>
            </w:r>
          </w:p>
          <w:p w14:paraId="3B8784F5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Technology Familiarity: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Highly familiar; the system relies on standard web technologies (React/Vue for the front end, Node.js/Python for the back end, and PostgreSQL or MySQL databases).</w:t>
            </w:r>
          </w:p>
          <w:p w14:paraId="19B9E948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Project Size: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Medium; the main modules are Student Management, Course Management, Rules Engine, and Reports Panel.</w:t>
            </w:r>
          </w:p>
          <w:p w14:paraId="2523748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System Load Risk: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High during registration week; a scalable architecture is needed to handle hundreds of concurrent users without crashing.</w:t>
            </w:r>
          </w:p>
        </w:tc>
      </w:tr>
      <w:tr w14:paraId="40520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uto" w:sz="4" w:space="0"/>
              <w:bottom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9B66">
            <w:pPr>
              <w:spacing w:before="100"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Economic Feasibility:</w:t>
            </w:r>
          </w:p>
          <w:p w14:paraId="2082F23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Development Cost: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200,000 EGP (one-time).</w:t>
            </w:r>
          </w:p>
          <w:p w14:paraId="72E621F1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Annual Operating Cost: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40,000 EGP.</w:t>
            </w:r>
          </w:p>
          <w:p w14:paraId="60FA0B4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Annual Benefits: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180,000 EGP from reduced staff workload, paper, and registration errors.</w:t>
            </w:r>
          </w:p>
          <w:p w14:paraId="5C79B3B0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Payback Period: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About 1.4 years.</w:t>
            </w:r>
          </w:p>
        </w:tc>
      </w:tr>
      <w:tr w14:paraId="11228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uto" w:sz="4" w:space="0"/>
              <w:bottom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3BD5">
            <w:pPr>
              <w:spacing w:before="100"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Organizational Feasibility:</w:t>
            </w:r>
          </w:p>
          <w:p w14:paraId="60AE324F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Regulatory Compliance: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The rules engine applies the university’s academic regulations equally to all students.</w:t>
            </w:r>
          </w:p>
          <w:p w14:paraId="5A06FFED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User Acceptance: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Expected to be high among students and advisors, as a simple interface replaces paperwork.</w:t>
            </w:r>
          </w:p>
          <w:p w14:paraId="5919707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Change Management: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Academic advisors need basic training on handling override requests.</w:t>
            </w:r>
          </w:p>
        </w:tc>
      </w:tr>
      <w:tr w14:paraId="2F7B4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8C04">
            <w:pPr>
              <w:spacing w:before="100"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Schedule Feasibility:</w:t>
            </w:r>
          </w:p>
          <w:p w14:paraId="0D389675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Estimated Duration: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5 months; the system must be ready before the registration week.</w:t>
            </w:r>
          </w:p>
          <w:p w14:paraId="67EF28A6">
            <w:pPr>
              <w:spacing w:before="100" w:after="8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Conclusion:</w:t>
            </w:r>
          </w:p>
          <w:p w14:paraId="6579B885">
            <w:pPr>
              <w:spacing w:after="8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The project is technically, economically, and organizationally feasible.</w:t>
            </w:r>
          </w:p>
        </w:tc>
      </w:tr>
    </w:tbl>
    <w:p w14:paraId="7779FFF2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Ø"/>
      <w:lvlJc w:val="left"/>
      <w:pPr>
        <w:ind w:left="540" w:hanging="360"/>
      </w:pPr>
      <w:rPr>
        <w:rFonts w:ascii="Wingdings" w:hAnsi="Wingdings" w:eastAsia="Wingdings" w:cs="Wingdings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B974E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167</Words>
  <Characters>1118</Characters>
  <TotalTime>2</TotalTime>
  <ScaleCrop>false</ScaleCrop>
  <LinksUpToDate>false</LinksUpToDate>
  <CharactersWithSpaces>1266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2026-10-08T18:58:00Z</dcterms:created>
  <dc:creator>Un-named</dc:creator>
  <cp:lastModifiedBy>WPS_1729688589</cp:lastModifiedBy>
  <dcterms:modified xsi:type="dcterms:W3CDTF">2026-10-18T12:53:39Z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eyJoZGlkIjoiMWIzNjVkNWM3NmYyNWU0NzViMjJmNWVhNmRmZGY3YWIiLCJ1c2VySWQiOiIxNDQ0ODg1NDI4MTA1MSJ9</vt:lpwstr>
  </property>
  <property fmtid="{D5CDD505-2E9C-101B-9397-08002B2CF9AE}" pid="3" name="KSOProductBuildVer">
    <vt:lpwstr>1033-12.1.0.29162</vt:lpwstr>
  </property>
  <property fmtid="{D5CDD505-2E9C-101B-9397-08002B2CF9AE}" pid="4" name="ICV">
    <vt:lpwstr>68C8FEC459D34423989674C5BB7F1689_12</vt:lpwstr>
  </property>
</Properties>
</file>