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20"/>
        <w:jc w:val="center"/>
      </w:pPr>
      <w:r>
        <w:rPr>
          <w:rFonts w:ascii="Times New Roman" w:cs="Times New Roman" w:eastAsia="Times New Roman" w:hAnsi="Times New Roman"/>
          <w:b/>
          <w:bCs/>
          <w:color w:val="4F81BD"/>
          <w:sz w:val="36"/>
          <w:szCs w:val="36"/>
        </w:rPr>
        <w:t xml:space="preserve">Feasibility Study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thinThickSmallGap" w:color="000000" w:sz="18"/>
              <w:left w:val="thinThickSmallGap" w:color="000000" w:sz="18"/>
              <w:bottom w:val="thinThickSmallGap" w:color="000000" w:sz="18"/>
              <w:right w:val="thinThickSmallGap" w:color="000000" w:sz="1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4F81BD"/>
                <w:sz w:val="22"/>
                <w:szCs w:val="22"/>
              </w:rPr>
              <w:t xml:space="preserve">Feasibility Study–Course Registration System Project</w:t>
            </w:r>
          </w:p>
        </w:tc>
      </w:tr>
      <w:tr>
        <w:tc>
          <w:tcPr>
            <w:tcW w:type="dxa" w:w="9360"/>
            <w:tcBorders>
              <w:top w:val="thinThickSmallGap" w:color="000000" w:sz="18"/>
              <w:left w:val="thinThickSmallGap" w:color="000000" w:sz="18"/>
              <w:bottom w:val="thinThickSmallGap" w:color="000000" w:sz="18"/>
              <w:right w:val="thinThickSmallGap" w:color="000000" w:sz="1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10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Technical Feasibility: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Technology Familiarity: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Highly familiar; the system relies on standard web technologies (React/Vue for the front end, Node.js/Python for the back end, and PostgreSQL or MySQL databases).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Project Size: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Medium; the main modules are Student Management, Course Management, Rules Engine, and Reports Panel.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System Load Risk: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 during registration week; a scalable architecture is needed to handle hundreds of concurrent users without crashing.</w:t>
            </w:r>
          </w:p>
        </w:tc>
      </w:tr>
      <w:tr>
        <w:tc>
          <w:tcPr>
            <w:tcW w:type="dxa" w:w="9360"/>
            <w:tcBorders>
              <w:top w:val="thinThickSmallGap" w:color="000000" w:sz="18"/>
              <w:left w:val="thinThickSmallGap" w:color="000000" w:sz="18"/>
              <w:bottom w:val="thinThickSmallGap" w:color="000000" w:sz="18"/>
              <w:right w:val="thinThickSmallGap" w:color="000000" w:sz="1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10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Economic Feasibility: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Development Cost: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200,000 EGP (one-time).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Annual Operating Cost: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40,000 EGP.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Annual Benefits: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180,000 EGP from reduced staff workload, paper, and registration errors.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Payback Period: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About 1.4 years.</w:t>
            </w:r>
          </w:p>
        </w:tc>
      </w:tr>
      <w:tr>
        <w:tc>
          <w:tcPr>
            <w:tcW w:type="dxa" w:w="9360"/>
            <w:tcBorders>
              <w:top w:val="thinThickSmallGap" w:color="000000" w:sz="18"/>
              <w:left w:val="thinThickSmallGap" w:color="000000" w:sz="18"/>
              <w:bottom w:val="thinThickSmallGap" w:color="000000" w:sz="18"/>
              <w:right w:val="thinThickSmallGap" w:color="000000" w:sz="1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10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Organizational Feasibility: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Regulatory Compliance: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rules engine applies the university’s academic regulations equally to all students.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User Acceptance: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Expected to be high among students and advisors, as a simple interface replaces paperwork.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Change Management: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Academic advisors need basic training on handling override requests.</w:t>
            </w:r>
          </w:p>
        </w:tc>
      </w:tr>
      <w:tr>
        <w:tc>
          <w:tcPr>
            <w:tcW w:type="dxa" w:w="9360"/>
            <w:tcBorders>
              <w:top w:val="thinThickSmallGap" w:color="000000" w:sz="18"/>
              <w:left w:val="thinThickSmallGap" w:color="000000" w:sz="18"/>
              <w:bottom w:val="thinThickSmallGap" w:color="000000" w:sz="18"/>
              <w:right w:val="thinThickSmallGap" w:color="000000" w:sz="1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10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Schedule Feasibility: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Estimated Duration: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5 months; the system must be ready before the registration week.</w:t>
            </w:r>
          </w:p>
          <w:p>
            <w:pPr>
              <w:spacing w:after="80" w:before="10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Conclusion: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project is technically, economically, and organizationally feasible.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Ø"/>
      <w:lvlJc w:val="left"/>
      <w:pPr>
        <w:ind w:left="540" w:hanging="360"/>
      </w:pPr>
      <w:rPr>
        <w:rFonts w:ascii="Wingdings" w:cs="Wingdings" w:eastAsia="Wingdings" w:hAnsi="Wingdings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2026-10-08T18:58:57.691Z</dcterms:created>
  <dcterms:modified xsi:type="dcterms:W3CDTF">2026-10-08T18:58:57.695Z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