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4F81BD"/>
          <w:sz w:val="36"/>
          <w:szCs w:val="36"/>
        </w:rPr>
        <w:t xml:space="preserve">Methodology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nThickSmallGap" w:color="000000" w:sz="18"/>
              <w:left w:val="thinThickSmallGap" w:color="000000" w:sz="18"/>
              <w:bottom w:val="thinThickSmallGap" w:color="000000" w:sz="18"/>
              <w:right w:val="thinThickSmallGap" w:color="000000" w:sz="1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Project Methodology–Course Registration System Project</w:t>
            </w:r>
          </w:p>
        </w:tc>
      </w:tr>
      <w:tr>
        <w:tc>
          <w:tcPr>
            <w:tcW w:type="dxa" w:w="9360"/>
            <w:tcBorders>
              <w:top w:val="thinThickSmallGap" w:color="000000" w:sz="18"/>
              <w:left w:val="thinThickSmallGap" w:color="000000" w:sz="18"/>
              <w:bottom w:val="thinThickSmallGap" w:color="000000" w:sz="18"/>
              <w:right w:val="thinThickSmallGap" w:color="000000" w:sz="1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10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Selected Methodology: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Agile Development: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system is built in short sprints, and each sprint delivers a working module.</w:t>
            </w:r>
          </w:p>
        </w:tc>
      </w:tr>
      <w:tr>
        <w:tc>
          <w:tcPr>
            <w:tcW w:type="dxa" w:w="9360"/>
            <w:tcBorders>
              <w:top w:val="thinThickSmallGap" w:color="000000" w:sz="18"/>
              <w:left w:val="thinThickSmallGap" w:color="000000" w:sz="18"/>
              <w:bottom w:val="thinThickSmallGap" w:color="000000" w:sz="18"/>
              <w:right w:val="thinThickSmallGap" w:color="000000" w:sz="1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10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Reasons: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Advisor Feedback: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credit limits and student-status rules are refined with feedback from academic advisors.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Modular System: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Management, Course Management, Rules Engine, and Reports Panel can be delivered one by 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Communication: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team of four members working face to face.</w:t>
            </w:r>
          </w:p>
        </w:tc>
      </w:tr>
      <w:tr>
        <w:tc>
          <w:tcPr>
            <w:tcW w:type="dxa" w:w="9360"/>
            <w:tcBorders>
              <w:top w:val="thinThickSmallGap" w:color="000000" w:sz="18"/>
              <w:left w:val="thinThickSmallGap" w:color="000000" w:sz="18"/>
              <w:bottom w:val="thinThickSmallGap" w:color="000000" w:sz="18"/>
              <w:right w:val="thinThickSmallGap" w:color="000000" w:sz="1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10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 Plan (Implementation phase, 3 sprints of 14 days):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 1: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Management and Course Management.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 2: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Rules Engine: prerequisite verification, credit limits by GPA and student status, and schedule check.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Sprint 3: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Reports Panel, load testing for registration week, and advisor training.</w:t>
            </w:r>
          </w:p>
        </w:tc>
      </w:tr>
    </w:tbl>
    <w:p>
      <w:r>
        <w:br w:type="page"/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4F81BD"/>
          <w:sz w:val="36"/>
          <w:szCs w:val="36"/>
        </w:rPr>
        <w:t xml:space="preserve">Case Study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thinThickSmallGap" w:color="000000" w:sz="18"/>
              <w:left w:val="thinThickSmallGap" w:color="000000" w:sz="18"/>
              <w:bottom w:val="thinThickSmallGap" w:color="000000" w:sz="18"/>
              <w:right w:val="thinThickSmallGap" w:color="000000" w:sz="1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Case Study–Course Registration System</w:t>
            </w:r>
          </w:p>
        </w:tc>
      </w:tr>
      <w:tr>
        <w:tc>
          <w:tcPr>
            <w:tcW w:type="dxa" w:w="9360"/>
            <w:tcBorders>
              <w:top w:val="thinThickSmallGap" w:color="000000" w:sz="18"/>
              <w:left w:val="thinThickSmallGap" w:color="000000" w:sz="18"/>
              <w:bottom w:val="thinThickSmallGap" w:color="000000" w:sz="18"/>
              <w:right w:val="thinThickSmallGap" w:color="000000" w:sz="1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10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Background: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university relies on manual review of prerequisites and manual calculation of minimum and maximum credit hours during each semester registration period.</w:t>
            </w:r>
          </w:p>
        </w:tc>
      </w:tr>
      <w:tr>
        <w:tc>
          <w:tcPr>
            <w:tcW w:type="dxa" w:w="9360"/>
            <w:tcBorders>
              <w:top w:val="thinThickSmallGap" w:color="000000" w:sz="18"/>
              <w:left w:val="thinThickSmallGap" w:color="000000" w:sz="18"/>
              <w:bottom w:val="thinThickSmallGap" w:color="000000" w:sz="18"/>
              <w:right w:val="thinThickSmallGap" w:color="000000" w:sz="1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10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Problems Identified: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Human Errors: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record checking causes prerequisite and credit-hour errors.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Long Queues: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students crowd student affairs at the start of each semester.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 Seat Information: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available seats cannot be seen in real time.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Scheduling Conflicts: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conflicts between lectures or final exams are found late.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Administrative Burden: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advisors spend registration week on manual paper-checking.</w:t>
            </w:r>
          </w:p>
        </w:tc>
      </w:tr>
      <w:tr>
        <w:tc>
          <w:tcPr>
            <w:tcW w:type="dxa" w:w="9360"/>
            <w:tcBorders>
              <w:top w:val="thinThickSmallGap" w:color="000000" w:sz="18"/>
              <w:left w:val="thinThickSmallGap" w:color="000000" w:sz="18"/>
              <w:bottom w:val="thinThickSmallGap" w:color="000000" w:sz="18"/>
              <w:right w:val="thinThickSmallGap" w:color="000000" w:sz="1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10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Project Objectives: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Prerequisite Verification: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prevent registration in a course without its prerequisite.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Credit Limits: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apply minimum and maximum credit hours by GPA and student status.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Schedule Check: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detect conflicts before the schedule is confirmed.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Real-Time Seats: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available seats for each section.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Reports: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give the administration enrollment reports per course.</w:t>
            </w:r>
          </w:p>
        </w:tc>
      </w:tr>
      <w:tr>
        <w:tc>
          <w:tcPr>
            <w:tcW w:type="dxa" w:w="9360"/>
            <w:tcBorders>
              <w:top w:val="thinThickSmallGap" w:color="000000" w:sz="18"/>
              <w:left w:val="thinThickSmallGap" w:color="000000" w:sz="18"/>
              <w:bottom w:val="thinThickSmallGap" w:color="000000" w:sz="18"/>
              <w:right w:val="thinThickSmallGap" w:color="000000" w:sz="1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10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Development Plan (SDLC):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Planning: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goals, feasibility, and resources.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Analysis: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requirements from students, advisors, and administrators.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Design: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model, rules engine, and interface.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Implementation: 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build, test, deploy, and train advisors.</w:t>
            </w:r>
          </w:p>
        </w:tc>
      </w:tr>
      <w:tr>
        <w:tc>
          <w:tcPr>
            <w:tcW w:type="dxa" w:w="9360"/>
            <w:tcBorders>
              <w:top w:val="thinThickSmallGap" w:color="000000" w:sz="18"/>
              <w:left w:val="thinThickSmallGap" w:color="000000" w:sz="18"/>
              <w:bottom w:val="thinThickSmallGap" w:color="000000" w:sz="18"/>
              <w:right w:val="thinThickSmallGap" w:color="000000" w:sz="1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10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Question: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SDLC methodology is most suitable for this project?</w:t>
            </w:r>
          </w:p>
          <w:p>
            <w:pPr>
              <w:spacing w:after="80" w:before="10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Answer: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Agile Development. The rules engine is refined with advisor feedback, and working modules are delivered in sprints before the registration week.</w:t>
            </w:r>
          </w:p>
        </w:tc>
      </w:tr>
    </w:tbl>
    <w:p>
      <w:r>
        <w:br w:type="page"/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4F81BD"/>
          <w:sz w:val="36"/>
          <w:szCs w:val="36"/>
        </w:rPr>
        <w:t xml:space="preserve">Time Estimation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DBE5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DBE5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Percentage</w:t>
            </w:r>
          </w:p>
        </w:tc>
        <w:tc>
          <w:tcPr>
            <w:tcW w:type="dxa" w:w="41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DBE5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Estimated Time (days)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Planning</w:t>
            </w:r>
          </w:p>
        </w:tc>
        <w:tc>
          <w:tcPr>
            <w:tcW w:type="dxa" w:w="200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41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Analysis</w:t>
            </w:r>
          </w:p>
        </w:tc>
        <w:tc>
          <w:tcPr>
            <w:tcW w:type="dxa" w:w="200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41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28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Design</w:t>
            </w:r>
          </w:p>
        </w:tc>
        <w:tc>
          <w:tcPr>
            <w:tcW w:type="dxa" w:w="200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  <w:tc>
          <w:tcPr>
            <w:tcW w:type="dxa" w:w="41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49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00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30%</w:t>
            </w:r>
          </w:p>
        </w:tc>
        <w:tc>
          <w:tcPr>
            <w:tcW w:type="dxa" w:w="41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100%</w:t>
            </w:r>
          </w:p>
        </w:tc>
        <w:tc>
          <w:tcPr>
            <w:tcW w:type="dxa" w:w="41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140 (20 weeks)</w:t>
            </w:r>
          </w:p>
        </w:tc>
      </w:tr>
    </w:tbl>
    <w:p>
      <w:pPr>
        <w:spacing w:before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Planning Time: </w:t>
      </w:r>
      <w:r>
        <w:rPr>
          <w:rFonts w:ascii="Calibri" w:cs="Calibri" w:eastAsia="Calibri" w:hAnsi="Calibri"/>
          <w:sz w:val="20"/>
          <w:szCs w:val="20"/>
        </w:rPr>
        <w:t xml:space="preserve">21 days, the minimum duration of the planning activities (see PERT Chart).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Total Project Time: </w:t>
      </w:r>
      <w:r>
        <w:rPr>
          <w:rFonts w:ascii="Calibri" w:cs="Calibri" w:eastAsia="Calibri" w:hAnsi="Calibri"/>
          <w:sz w:val="20"/>
          <w:szCs w:val="20"/>
        </w:rPr>
        <w:t xml:space="preserve">21 ÷ 0.15 = 140 days.</w:t>
      </w:r>
    </w:p>
    <w:p>
      <w:r>
        <w:br w:type="page"/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4F81BD"/>
          <w:sz w:val="36"/>
          <w:szCs w:val="36"/>
        </w:rPr>
        <w:t xml:space="preserve">PERT 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24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DBE5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Activity</w:t>
            </w:r>
          </w:p>
        </w:tc>
        <w:tc>
          <w:tcPr>
            <w:tcW w:type="dxa" w:w="360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DBE5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DBE5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Predecessors</w:t>
            </w:r>
          </w:p>
        </w:tc>
        <w:tc>
          <w:tcPr>
            <w:tcW w:type="dxa" w:w="21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shd w:fill="DBE5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Duration (days)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360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System Request</w:t>
            </w:r>
          </w:p>
        </w:tc>
        <w:tc>
          <w:tcPr>
            <w:tcW w:type="dxa" w:w="240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1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W w:type="dxa" w:w="360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Feasibility Study</w:t>
            </w:r>
          </w:p>
        </w:tc>
        <w:tc>
          <w:tcPr>
            <w:tcW w:type="dxa" w:w="240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21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</w:t>
            </w:r>
          </w:p>
        </w:tc>
        <w:tc>
          <w:tcPr>
            <w:tcW w:type="dxa" w:w="360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Methodology</w:t>
            </w:r>
          </w:p>
        </w:tc>
        <w:tc>
          <w:tcPr>
            <w:tcW w:type="dxa" w:w="240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</w:t>
            </w:r>
          </w:p>
        </w:tc>
        <w:tc>
          <w:tcPr>
            <w:tcW w:type="dxa" w:w="21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</w:t>
            </w:r>
          </w:p>
        </w:tc>
        <w:tc>
          <w:tcPr>
            <w:tcW w:type="dxa" w:w="360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 Estimation</w:t>
            </w:r>
          </w:p>
        </w:tc>
        <w:tc>
          <w:tcPr>
            <w:tcW w:type="dxa" w:w="240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A, C</w:t>
            </w:r>
          </w:p>
        </w:tc>
        <w:tc>
          <w:tcPr>
            <w:tcW w:type="dxa" w:w="21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</w:t>
            </w:r>
          </w:p>
        </w:tc>
        <w:tc>
          <w:tcPr>
            <w:tcW w:type="dxa" w:w="360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Task Identification</w:t>
            </w:r>
          </w:p>
        </w:tc>
        <w:tc>
          <w:tcPr>
            <w:tcW w:type="dxa" w:w="240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21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</w:t>
            </w:r>
          </w:p>
        </w:tc>
        <w:tc>
          <w:tcPr>
            <w:tcW w:type="dxa" w:w="360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PERT Chart</w:t>
            </w:r>
          </w:p>
        </w:tc>
        <w:tc>
          <w:tcPr>
            <w:tcW w:type="dxa" w:w="240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21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</w:t>
            </w:r>
          </w:p>
        </w:tc>
        <w:tc>
          <w:tcPr>
            <w:tcW w:type="dxa" w:w="360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Gantt Chart</w:t>
            </w:r>
          </w:p>
        </w:tc>
        <w:tc>
          <w:tcPr>
            <w:tcW w:type="dxa" w:w="240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D, E, F</w:t>
            </w:r>
          </w:p>
        </w:tc>
        <w:tc>
          <w:tcPr>
            <w:tcW w:type="dxa" w:w="2160"/>
            <w:tcBorders>
              <w:top w:val="single" w:color="7F7F7F" w:sz="6"/>
              <w:left w:val="single" w:color="7F7F7F" w:sz="6"/>
              <w:bottom w:val="single" w:color="7F7F7F" w:sz="6"/>
              <w:right w:val="single" w:color="7F7F7F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</w:tbl>
    <w:p>
      <w:pPr>
        <w:spacing w:after="120" w:before="160"/>
        <w:jc w:val="center"/>
      </w:pPr>
      <w:r>
        <w:drawing>
          <wp:inline distT="0" distB="0" distL="0" distR="0">
            <wp:extent cx="5715000" cy="2809875"/>
            <wp:effectExtent t="0" r="0" b="0" l="0"/>
            <wp:docPr id="1" name="pert.png" descr="pert.png" title="pe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Critical Path: </w:t>
      </w:r>
      <w:r>
        <w:rPr>
          <w:rFonts w:ascii="Calibri" w:cs="Calibri" w:eastAsia="Calibri" w:hAnsi="Calibri"/>
          <w:sz w:val="20"/>
          <w:szCs w:val="20"/>
        </w:rPr>
        <w:t xml:space="preserve">B, C, F, 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Minimum Duration: </w:t>
      </w:r>
      <w:r>
        <w:rPr>
          <w:rFonts w:ascii="Calibri" w:cs="Calibri" w:eastAsia="Calibri" w:hAnsi="Calibri"/>
          <w:sz w:val="20"/>
          <w:szCs w:val="20"/>
        </w:rPr>
        <w:t xml:space="preserve">7 + 3 + 7 + 4 = 21 days.</w:t>
      </w:r>
    </w:p>
    <w:p>
      <w:r>
        <w:br w:type="page"/>
      </w:r>
    </w:p>
    <w:p>
      <w:pPr>
        <w:spacing w:after="24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4F81BD"/>
          <w:sz w:val="36"/>
          <w:szCs w:val="36"/>
        </w:rPr>
        <w:t xml:space="preserve">Gantt Chart</w:t>
      </w:r>
    </w:p>
    <w:p>
      <w:pPr>
        <w:spacing w:after="120" w:before="160"/>
        <w:jc w:val="center"/>
      </w:pPr>
      <w:r>
        <w:drawing>
          <wp:inline distT="0" distB="0" distL="0" distR="0">
            <wp:extent cx="5715000" cy="2390775"/>
            <wp:effectExtent t="0" r="0" b="0" l="0"/>
            <wp:docPr id="1" name="gantt.png" descr="gantt.png" title="gant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Critical Path: </w:t>
      </w:r>
      <w:r>
        <w:rPr>
          <w:rFonts w:ascii="Calibri" w:cs="Calibri" w:eastAsia="Calibri" w:hAnsi="Calibri"/>
          <w:sz w:val="20"/>
          <w:szCs w:val="20"/>
        </w:rPr>
        <w:t xml:space="preserve">B, C, F, 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Minimum Duration: </w:t>
      </w:r>
      <w:r>
        <w:rPr>
          <w:rFonts w:ascii="Calibri" w:cs="Calibri" w:eastAsia="Calibri" w:hAnsi="Calibri"/>
          <w:sz w:val="20"/>
          <w:szCs w:val="20"/>
        </w:rPr>
        <w:t xml:space="preserve">21 days.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Ø"/>
      <w:lvlJc w:val="left"/>
      <w:pPr>
        <w:ind w:left="54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475366b7ff4ca22a79b9e6ce5002c926d9f0ff2.png"/><Relationship Id="rId8" Type="http://schemas.openxmlformats.org/officeDocument/2006/relationships/image" Target="media/3dd38fbdac10f400abb11ee7abb3d8caaa7323d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2026-10-20T20:10:35.738Z</dcterms:created>
  <dcterms:modified xsi:type="dcterms:W3CDTF">2026-10-20T20:10:35.743Z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