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D94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 w:val="0"/>
          <w:bCs/>
          <w:color w:val="auto"/>
          <w:kern w:val="2"/>
          <w:sz w:val="28"/>
          <w:szCs w:val="28"/>
          <w:lang w:val="en-US" w:eastAsia="zh-CN" w:bidi="ar-SA"/>
        </w:rPr>
      </w:pPr>
      <w:bookmarkStart w:id="0" w:name="heading_0"/>
      <w:r>
        <w:rPr>
          <w:rFonts w:hint="eastAsia" w:ascii="黑体" w:hAnsi="黑体" w:eastAsia="黑体" w:cs="黑体"/>
          <w:b w:val="0"/>
          <w:bCs/>
          <w:color w:val="auto"/>
          <w:kern w:val="2"/>
          <w:sz w:val="28"/>
          <w:szCs w:val="28"/>
          <w:lang w:val="en-US" w:eastAsia="zh-CN" w:bidi="ar-SA"/>
        </w:rPr>
        <w:t>选修课先修关系图多目标优化专题研究小组报告</w:t>
      </w:r>
    </w:p>
    <w:p w14:paraId="43B56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</w:pPr>
      <w:r>
        <w:rPr>
          <w:rFonts w:hint="default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t>赵乐毅（</w:t>
      </w: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t>分</w:t>
      </w: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fldChar w:fldCharType="begin"/>
      </w: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instrText xml:space="preserve"> HYPERLINK "mailto:4，2024011119，zly24@mails.tsinghua.edu.cn）" </w:instrText>
      </w: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fldChar w:fldCharType="separate"/>
      </w: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t>4，</w:t>
      </w:r>
      <w:r>
        <w:rPr>
          <w:rFonts w:hint="default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t>2024011119</w:t>
      </w: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t>，</w:t>
      </w:r>
      <w:r>
        <w:rPr>
          <w:rFonts w:hint="default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t>zly24@mails.tsinghua.edu.cn）</w:t>
      </w: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fldChar w:fldCharType="end"/>
      </w:r>
    </w:p>
    <w:p w14:paraId="18D36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</w:pP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t>刘宪武（</w:t>
      </w:r>
      <w:r>
        <w:rPr>
          <w:rFonts w:hint="default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t>化4</w:t>
      </w: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t>，</w:t>
      </w:r>
      <w:r>
        <w:rPr>
          <w:rFonts w:hint="default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t>2024011124</w:t>
      </w: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t>，</w:t>
      </w:r>
      <w:r>
        <w:rPr>
          <w:rFonts w:hint="default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fldChar w:fldCharType="begin"/>
      </w:r>
      <w:r>
        <w:rPr>
          <w:rFonts w:hint="default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instrText xml:space="preserve"> HYPERLINK "mailto:lxw24@mails.tsinghua.edu.cn）" </w:instrText>
      </w:r>
      <w:r>
        <w:rPr>
          <w:rFonts w:hint="default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fldChar w:fldCharType="separate"/>
      </w:r>
      <w:r>
        <w:rPr>
          <w:rFonts w:hint="default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t>lxw24@mails.tsinghua.edu.cn</w:t>
      </w: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t>）</w:t>
      </w:r>
      <w:r>
        <w:rPr>
          <w:rFonts w:hint="default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fldChar w:fldCharType="end"/>
      </w:r>
    </w:p>
    <w:p w14:paraId="66E88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</w:pP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t>卢绪涵（建</w:t>
      </w: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fldChar w:fldCharType="begin"/>
      </w: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instrText xml:space="preserve"> HYPERLINK "mailto:41，2024010053，luxh24@mails.tsinghua.edu.cn）" </w:instrText>
      </w: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fldChar w:fldCharType="separate"/>
      </w: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t>41，2024010053，luxh24@mails.tsinghua.edu.cn）</w:t>
      </w:r>
      <w:r>
        <w:rPr>
          <w:rFonts w:hint="eastAsia" w:ascii="Times New Roman Regular" w:hAnsi="Times New Roman Regular" w:eastAsia="楷体" w:cs="Times New Roman Regular"/>
          <w:b w:val="0"/>
          <w:bCs/>
          <w:color w:val="auto"/>
          <w:szCs w:val="22"/>
          <w:lang w:val="en-US" w:eastAsia="zh-CN"/>
        </w:rPr>
        <w:fldChar w:fldCharType="end"/>
      </w:r>
    </w:p>
    <w:p w14:paraId="200773C2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eastAsia" w:ascii="Arial" w:hAnsi="Arial" w:eastAsia="黑体" w:cs="Arial"/>
          <w:color w:val="auto"/>
          <w:sz w:val="24"/>
          <w:szCs w:val="24"/>
          <w:lang w:val="en-US" w:eastAsia="zh-CN"/>
        </w:rPr>
      </w:pPr>
      <w:r>
        <w:rPr>
          <w:rFonts w:hint="eastAsia" w:ascii="Arial" w:hAnsi="Arial" w:eastAsia="黑体" w:cs="Arial"/>
          <w:color w:val="auto"/>
          <w:sz w:val="24"/>
          <w:szCs w:val="24"/>
          <w:lang w:val="en-US" w:eastAsia="zh-CN"/>
        </w:rPr>
        <w:t>一、问题背景与定义</w:t>
      </w:r>
    </w:p>
    <w:p w14:paraId="43F334A2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eastAsia" w:ascii="Arial" w:hAnsi="Arial" w:eastAsia="黑体" w:cs="Arial"/>
          <w:color w:val="auto"/>
          <w:sz w:val="22"/>
          <w:szCs w:val="22"/>
          <w:lang w:val="en-US" w:eastAsia="zh-CN"/>
        </w:rPr>
      </w:pPr>
      <w:r>
        <w:rPr>
          <w:rFonts w:hint="eastAsia" w:ascii="Arial" w:hAnsi="Arial" w:eastAsia="黑体" w:cs="Arial"/>
          <w:color w:val="auto"/>
          <w:sz w:val="22"/>
          <w:szCs w:val="22"/>
          <w:lang w:val="en-US" w:eastAsia="zh-CN"/>
        </w:rPr>
        <w:t>（一）为什么会产生这一问题？</w:t>
      </w:r>
    </w:p>
    <w:p w14:paraId="04B1DF34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本研究聚焦于选修课先修关系图的多目标优化问题，旨在构建一个支持学生进行个性化、智能化选课规划的决策系统。在现代高等教育体系日益复杂化的背景下，学生面临着课程选择中的多重挑战：课程间存在复杂的先修依赖关系，形成有向无环图结构；选课约束既包含硬性的学分与时间约束的毕业要求，又涉及学生个人对课程难度、兴趣偏好、学期压力等软性考量。传统的人工规划方式依赖静态文档与经验咨询，不仅效率低下，而且难以在多目标冲突中找到平衡点。因此，将这一问题形式化为一个基于图结构的约束满足与多目标优化问题，并开发相应的计算解决方案，具有重要的现实意义与应用价值。</w:t>
      </w:r>
    </w:p>
    <w:p w14:paraId="47C07556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eastAsia" w:ascii="Arial" w:hAnsi="Arial" w:eastAsia="黑体" w:cs="Arial"/>
          <w:color w:val="auto"/>
          <w:sz w:val="22"/>
          <w:szCs w:val="22"/>
          <w:lang w:val="en-US" w:eastAsia="zh-CN"/>
        </w:rPr>
      </w:pPr>
      <w:r>
        <w:rPr>
          <w:rFonts w:hint="eastAsia" w:ascii="Arial" w:hAnsi="Arial" w:eastAsia="黑体" w:cs="Arial"/>
          <w:color w:val="auto"/>
          <w:sz w:val="22"/>
          <w:szCs w:val="22"/>
          <w:lang w:val="en-US" w:eastAsia="zh-CN"/>
        </w:rPr>
        <w:t>（二）问题定义</w:t>
      </w:r>
    </w:p>
    <w:p w14:paraId="4D51943D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本研究将“选课规划”定义为基于有向无环图的多目标约束满足问题。</w:t>
      </w:r>
    </w:p>
    <w:p w14:paraId="7A244357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输入： 课程集合 V、先修关系集合 E（构成图 G=(V,E)）、学生已修课程与目标约束。</w:t>
      </w:r>
    </w:p>
    <w:p w14:paraId="59BFA63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输出： 一组可行的时间序列路径，每个路径满足先修逻辑。</w:t>
      </w:r>
    </w:p>
    <w:p w14:paraId="3A243C5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核心难点： 在满足硬约束的同时，优化软约束，并提供可视化决策支持。</w:t>
      </w:r>
    </w:p>
    <w:p w14:paraId="65C3E617">
      <w:pPr>
        <w:rPr>
          <w:rFonts w:hint="eastAsia" w:ascii="Arial" w:hAnsi="Arial" w:eastAsia="黑体" w:cs="Arial"/>
          <w:color w:val="auto"/>
          <w:kern w:val="2"/>
          <w:sz w:val="24"/>
          <w:szCs w:val="24"/>
          <w:lang w:val="en-US" w:eastAsia="zh-CN" w:bidi="ar-SA"/>
        </w:rPr>
      </w:pPr>
    </w:p>
    <w:p w14:paraId="115A2B37">
      <w:pPr>
        <w:rPr>
          <w:rFonts w:hint="eastAsia" w:ascii="Arial" w:hAnsi="Arial" w:eastAsia="黑体" w:cs="Arial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="Arial"/>
          <w:color w:val="auto"/>
          <w:kern w:val="2"/>
          <w:sz w:val="24"/>
          <w:szCs w:val="24"/>
          <w:lang w:val="en-US" w:eastAsia="zh-CN" w:bidi="ar-SA"/>
        </w:rPr>
        <w:t>二、现有解决方法</w:t>
      </w:r>
    </w:p>
    <w:p w14:paraId="2E2F6277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eastAsia" w:ascii="Arial" w:hAnsi="Arial" w:eastAsia="黑体" w:cs="Arial"/>
          <w:color w:val="auto"/>
          <w:sz w:val="22"/>
          <w:szCs w:val="22"/>
          <w:lang w:val="en-US" w:eastAsia="zh-CN"/>
        </w:rPr>
      </w:pPr>
      <w:r>
        <w:rPr>
          <w:rFonts w:hint="eastAsia" w:ascii="Arial" w:hAnsi="Arial" w:eastAsia="黑体" w:cs="Arial"/>
          <w:color w:val="auto"/>
          <w:sz w:val="22"/>
          <w:szCs w:val="22"/>
          <w:lang w:val="en-US" w:eastAsia="zh-CN"/>
        </w:rPr>
        <w:t>（一）非计算方法</w:t>
      </w:r>
    </w:p>
    <w:p w14:paraId="08E22D2C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非计算方法主要依赖人工经验与静态工具。以我为例，在之前的选课中采用人工审核培养方案与电子表格手动排课的方式，通过查阅课程手册、培养计划文档，并在Excel中手动排列课程学期。这种方式不仅耗时费力，而且难以全面考虑课程间复杂的先修关系与多维度约束，容易导致规划冲突或疏漏。此外，一些静态可视化工具，如课程树状图或依赖关系图，能够直观展示先修结构，但通常缺乏动态交互与个性化计算能力，无法根据学生已修课程和实时约束进行自动调整与推荐，支持决策的深度有限。</w:t>
      </w:r>
    </w:p>
    <w:p w14:paraId="7BE9166C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eastAsia" w:ascii="Arial" w:hAnsi="Arial" w:eastAsia="黑体" w:cs="Arial"/>
          <w:color w:val="auto"/>
          <w:sz w:val="22"/>
          <w:szCs w:val="22"/>
          <w:lang w:val="en-US" w:eastAsia="zh-CN"/>
        </w:rPr>
      </w:pPr>
      <w:r>
        <w:rPr>
          <w:rFonts w:hint="eastAsia" w:ascii="Arial" w:hAnsi="Arial" w:eastAsia="黑体" w:cs="Arial"/>
          <w:color w:val="auto"/>
          <w:sz w:val="22"/>
          <w:szCs w:val="22"/>
          <w:lang w:val="en-US" w:eastAsia="zh-CN"/>
        </w:rPr>
        <w:t>（二）计算方法</w:t>
      </w:r>
    </w:p>
    <w:p w14:paraId="05C62A30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计算方法则尝试将选课规划形式化为可计算的模型，并采用优化算法进行求解。其中，整数线性规划是一种常见方法，通过将课程、学期、先修关系等转化为线性约束与0-1决策变量，以最小化总学期数或最大化学分完成度为单一目标进行优化。然而，ILP难以有效处理非线性的多目标（如课程难度平衡、兴趣匹配度）以及软约束，且问题规模较大时求解效率可能显著下降。启发式搜索算法（如贪婪算法、局部搜索）通过设计规则快速生成可行解，适用于实时性要求较高的场景，但通常缺乏全局优化视角，容易陷入局部最优，且对多目标权衡的支持不足。</w:t>
      </w:r>
    </w:p>
    <w:p w14:paraId="7ABDC3AA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近年来，多目标进化算法（MOEAs）在此类问题上展现出独特优势，特别是NSGA-II等算法能够并行搜索一组帕累托最优解，平衡多个相互冲突的目标（如最少学分数与最高课程难度）。这为本研究提供了创新空间。</w:t>
      </w:r>
    </w:p>
    <w:p w14:paraId="66C05DB1">
      <w:pPr>
        <w:ind w:firstLine="420" w:firstLineChars="0"/>
        <w:rPr>
          <w:rFonts w:hint="eastAsia"/>
          <w:color w:val="auto"/>
          <w:lang w:val="en-US" w:eastAsia="zh-CN"/>
        </w:rPr>
      </w:pPr>
    </w:p>
    <w:p w14:paraId="6868B0B6">
      <w:pPr>
        <w:numPr>
          <w:ilvl w:val="0"/>
          <w:numId w:val="0"/>
        </w:numPr>
        <w:rPr>
          <w:rFonts w:hint="eastAsia" w:ascii="黑体" w:hAnsi="黑体" w:eastAsia="黑体" w:cs="黑体"/>
          <w:color w:val="auto"/>
          <w:sz w:val="24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8"/>
          <w:lang w:val="en-US" w:eastAsia="zh-CN"/>
        </w:rPr>
        <w:t>三、优化目标维度拓展</w:t>
      </w:r>
      <w:bookmarkEnd w:id="0"/>
    </w:p>
    <w:p w14:paraId="7E8D8547">
      <w:pPr>
        <w:ind w:firstLine="420" w:firstLineChars="0"/>
        <w:rPr>
          <w:rFonts w:hint="eastAsia"/>
          <w:color w:val="auto"/>
          <w:lang w:val="en-US" w:eastAsia="zh-CN"/>
        </w:rPr>
      </w:pPr>
    </w:p>
    <w:p w14:paraId="63A6D89A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针对不同学生的核心发展需求，细化优化目标与量化指标，确保目标贴合实际场景。</w:t>
      </w:r>
    </w:p>
    <w:p w14:paraId="50E1614B">
      <w:pPr>
        <w:ind w:firstLine="420" w:firstLineChars="0"/>
        <w:rPr>
          <w:rFonts w:hint="eastAsia"/>
          <w:color w:val="auto"/>
          <w:lang w:val="en-US" w:eastAsia="zh-CN"/>
        </w:rPr>
      </w:pPr>
    </w:p>
    <w:p w14:paraId="1A3FAEBB">
      <w:pPr>
        <w:ind w:firstLine="420" w:firstLineChars="0"/>
        <w:rPr>
          <w:rFonts w:hint="eastAsia"/>
          <w:color w:val="auto"/>
          <w:lang w:val="en-US" w:eastAsia="zh-CN"/>
        </w:rPr>
      </w:pPr>
    </w:p>
    <w:p w14:paraId="26E800EF">
      <w:pPr>
        <w:ind w:firstLine="420" w:firstLineChars="0"/>
        <w:rPr>
          <w:rFonts w:hint="eastAsia"/>
          <w:color w:val="auto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A8F84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D3ADF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发展目标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7650E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核心优化目标（量化指标）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C87AA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辅助优化目标（场景化要求）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7DF0E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目标数据来源</w:t>
            </w:r>
          </w:p>
        </w:tc>
      </w:tr>
      <w:tr w14:paraId="641553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51356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保研深造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D75C0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核心课程成绩提升潜力：（目标绩点-同类平均绩点）×课程权重总和最大化（专业必修课权重0.3、加分选修课0.2）</w:t>
            </w:r>
          </w:p>
          <w:p w14:paraId="4E5E4135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科研课程覆盖率≥90%，修读顺序符合“基础→进阶→实战”逻辑</w:t>
            </w:r>
          </w:p>
          <w:p w14:paraId="4B0AD4C5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3. 核心加分课修读学期适配保研申请时间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30DCC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1. 各学期课程难度加权值方差≤0.8（可自定义）</w:t>
            </w:r>
          </w:p>
          <w:p w14:paraId="7352252F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2. 科研项目与课程冲突≤1次/月</w:t>
            </w:r>
          </w:p>
          <w:p w14:paraId="19B7CB0B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3. 目标院校偏好课程优先级提升20%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25B93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保研政策文件、同类学生绩点数据、实验室时间安排、院校录取偏好调研</w:t>
            </w:r>
          </w:p>
        </w:tc>
      </w:tr>
      <w:tr w14:paraId="488E0E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85043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就业导向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B0350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目标岗位核心技能课程覆盖率100%，至少2门完成实操项目</w:t>
            </w:r>
          </w:p>
          <w:p w14:paraId="3A6B40CF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实习高峰学期周课时≤15节，无连续2天满课</w:t>
            </w:r>
          </w:p>
          <w:p w14:paraId="7883F226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3. 行业认证相关课程考点重合度≥70%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C05F5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1. 企业合作课程修读≥3门</w:t>
            </w:r>
          </w:p>
          <w:p w14:paraId="7138F890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2. 求职期（9-12月）无密集考核课程</w:t>
            </w:r>
          </w:p>
          <w:p w14:paraId="5E353C00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3. 通用技能课程占比≥20%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E69C2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企业招聘JD关键词、校企合作课程清单、行业认证大纲、毕业生求职数据</w:t>
            </w:r>
          </w:p>
        </w:tc>
      </w:tr>
      <w:tr w14:paraId="343039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67C3C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兴趣探索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4D22A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跨学科兴趣覆盖≥3个学科，每科至少2门基础课</w:t>
            </w:r>
          </w:p>
          <w:p w14:paraId="2455AF3B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兴趣领域内完成≥2条“基础→中级→高级”课程链</w:t>
            </w:r>
          </w:p>
          <w:p w14:paraId="7004B243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3. 兴趣实践课程修读≥3门，适配竞赛时间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EB103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1. 兴趣课程学分占比≤30%</w:t>
            </w:r>
          </w:p>
          <w:p w14:paraId="3913DF46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2. 兴趣课程资源可及性≥85%</w:t>
            </w:r>
          </w:p>
          <w:p w14:paraId="2A9A5252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3. 支持校际交换课程纳入选择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A4D39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兴趣测评问卷、课程学科分类、实践资源清单、校际交换课程库</w:t>
            </w:r>
          </w:p>
        </w:tc>
      </w:tr>
      <w:tr w14:paraId="44E544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79A46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均衡发展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16A51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总修读学期数≤标准学期数，提前毕业可能性≥30%</w:t>
            </w:r>
          </w:p>
          <w:p w14:paraId="3080DB9B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各学期难度加权值方差≤0.5</w:t>
            </w:r>
          </w:p>
          <w:p w14:paraId="37EF9646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3. 专业核心课/通识课/选修课学分占比50%/30%/20%（±5%调整）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709ED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1. 学期平均绩点波动≤0.3</w:t>
            </w:r>
          </w:p>
          <w:p w14:paraId="1BC0E3DF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2. 每周预留≥8小时自由时间</w:t>
            </w:r>
          </w:p>
          <w:p w14:paraId="4E12990B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3. 每学期预留1门机动课程名额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6620C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毕业学分要求、课程难度数据、学生时间管理调研</w:t>
            </w:r>
          </w:p>
        </w:tc>
      </w:tr>
    </w:tbl>
    <w:p w14:paraId="0D104390">
      <w:pPr>
        <w:rPr>
          <w:rFonts w:hint="eastAsia" w:ascii="黑体" w:hAnsi="黑体" w:eastAsia="黑体" w:cs="黑体"/>
          <w:color w:val="auto"/>
          <w:sz w:val="24"/>
          <w:szCs w:val="28"/>
          <w:lang w:val="en-US" w:eastAsia="zh-CN"/>
        </w:rPr>
      </w:pPr>
      <w:bookmarkStart w:id="1" w:name="heading_1"/>
    </w:p>
    <w:p w14:paraId="7EF501D7">
      <w:pPr>
        <w:rPr>
          <w:rFonts w:hint="eastAsia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8"/>
          <w:lang w:val="en-US" w:eastAsia="zh-CN"/>
        </w:rPr>
        <w:t>四、个性化参数细化（赋予学生自主决策权）</w:t>
      </w:r>
      <w:bookmarkEnd w:id="1"/>
    </w:p>
    <w:p w14:paraId="3C92DF0C">
      <w:pPr>
        <w:ind w:firstLine="420" w:firstLineChars="0"/>
        <w:rPr>
          <w:rFonts w:hint="eastAsia" w:ascii="黑体" w:hAnsi="黑体" w:eastAsia="黑体" w:cs="黑体"/>
          <w:color w:val="auto"/>
          <w:sz w:val="22"/>
          <w:szCs w:val="24"/>
          <w:lang w:val="en-US" w:eastAsia="zh-CN"/>
        </w:rPr>
      </w:pPr>
      <w:bookmarkStart w:id="2" w:name="heading_2"/>
    </w:p>
    <w:p w14:paraId="7E523B0C">
      <w:pPr>
        <w:ind w:firstLine="420" w:firstLineChars="0"/>
        <w:rPr>
          <w:rFonts w:hint="eastAsia" w:ascii="黑体" w:hAnsi="黑体" w:eastAsia="黑体" w:cs="黑体"/>
          <w:color w:val="auto"/>
          <w:sz w:val="22"/>
          <w:szCs w:val="24"/>
          <w:lang w:val="en-US" w:eastAsia="zh-CN"/>
        </w:rPr>
      </w:pPr>
    </w:p>
    <w:p w14:paraId="1ED04F50">
      <w:pPr>
        <w:ind w:firstLine="420" w:firstLineChars="0"/>
        <w:rPr>
          <w:rFonts w:hint="eastAsia" w:ascii="黑体" w:hAnsi="黑体" w:eastAsia="黑体" w:cs="黑体"/>
          <w:color w:val="auto"/>
          <w:sz w:val="22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2"/>
          <w:szCs w:val="24"/>
          <w:lang w:val="en-US" w:eastAsia="zh-CN"/>
        </w:rPr>
        <w:t>（一）核心可自定义参数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21D6D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6BBB7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参数类型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748AB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可调整维度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D93EE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调整范围/方式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4AAB3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智能推荐逻辑</w:t>
            </w:r>
          </w:p>
        </w:tc>
      </w:tr>
      <w:tr w14:paraId="506694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4D10D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目标权重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456D6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各核心/辅助目标占比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AE99B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核心目标总和100%，辅助目标≤50%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1DE1C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低年级侧重基础/兴趣，高年级侧重保研/就业；绩点波动大则提高“压力均衡”权重</w:t>
            </w:r>
          </w:p>
        </w:tc>
      </w:tr>
      <w:tr w14:paraId="3340DD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92B2C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约束阈值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9212C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学业压力、时间冲突、学分进度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6E2B6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难度方差0.3-1.2，冲突0-3次/月，学分按学校规定调整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74C95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绩点不稳定推荐低压力（≤0.6）；有固定兼职推荐压力≤0.5</w:t>
            </w:r>
          </w:p>
        </w:tc>
      </w:tr>
      <w:tr w14:paraId="7BFE1B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6D189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偏好倾向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631A8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课程类型（理论/实践/线上/线下）、考核方式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9EC78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自定义占比范围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82B3C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视觉型偏好线下课≥60%；技术岗偏好实践课≥50%</w:t>
            </w:r>
          </w:p>
        </w:tc>
      </w:tr>
    </w:tbl>
    <w:p w14:paraId="3BFF7284">
      <w:pPr>
        <w:ind w:firstLine="420" w:firstLineChars="0"/>
        <w:rPr>
          <w:rFonts w:hint="eastAsia" w:ascii="黑体" w:hAnsi="黑体" w:eastAsia="黑体" w:cs="黑体"/>
          <w:color w:val="auto"/>
          <w:sz w:val="22"/>
          <w:szCs w:val="24"/>
          <w:lang w:val="en-US" w:eastAsia="zh-CN"/>
        </w:rPr>
      </w:pPr>
      <w:bookmarkStart w:id="3" w:name="heading_3"/>
      <w:r>
        <w:rPr>
          <w:rFonts w:hint="eastAsia" w:ascii="黑体" w:hAnsi="黑体" w:eastAsia="黑体" w:cs="黑体"/>
          <w:color w:val="auto"/>
          <w:sz w:val="22"/>
          <w:szCs w:val="24"/>
          <w:lang w:val="en-US" w:eastAsia="zh-CN"/>
        </w:rPr>
        <w:t>（二）模板化便捷选择</w:t>
      </w:r>
      <w:bookmarkEnd w:id="3"/>
    </w:p>
    <w:p w14:paraId="62AA27ED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预设模板库：提供保研冲刺、大厂实习、跨学科探索、稳健毕业4类典型模板，可直接选用或微调；</w:t>
      </w:r>
    </w:p>
    <w:p w14:paraId="546A1379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自定义模板：支持保存个人参数组合（如“考研+兼职平衡模板”），跨学期复用更新。</w:t>
      </w:r>
    </w:p>
    <w:p w14:paraId="09AB7D4E">
      <w:pPr>
        <w:rPr>
          <w:rFonts w:hint="eastAsia" w:ascii="黑体" w:hAnsi="黑体" w:eastAsia="黑体" w:cs="黑体"/>
          <w:color w:val="auto"/>
          <w:sz w:val="24"/>
          <w:szCs w:val="28"/>
          <w:lang w:val="en-US" w:eastAsia="zh-CN"/>
        </w:rPr>
      </w:pPr>
      <w:bookmarkStart w:id="4" w:name="heading_4"/>
    </w:p>
    <w:p w14:paraId="5949C7FC">
      <w:pPr>
        <w:rPr>
          <w:rFonts w:hint="eastAsia"/>
          <w:color w:val="auto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8"/>
          <w:lang w:val="en-US" w:eastAsia="zh-CN"/>
        </w:rPr>
        <w:t>五、动态适配机制（目标随场景智能调整）</w:t>
      </w:r>
      <w:bookmarkEnd w:id="4"/>
    </w:p>
    <w:p w14:paraId="2ED6CB6B">
      <w:pPr>
        <w:ind w:firstLine="420" w:firstLineChars="0"/>
        <w:rPr>
          <w:rFonts w:hint="eastAsia" w:ascii="黑体" w:hAnsi="黑体" w:eastAsia="黑体" w:cs="黑体"/>
          <w:color w:val="auto"/>
          <w:sz w:val="22"/>
          <w:szCs w:val="24"/>
          <w:lang w:val="en-US" w:eastAsia="zh-CN"/>
        </w:rPr>
      </w:pPr>
      <w:bookmarkStart w:id="5" w:name="heading_5"/>
      <w:r>
        <w:rPr>
          <w:rFonts w:hint="eastAsia" w:ascii="黑体" w:hAnsi="黑体" w:eastAsia="黑体" w:cs="黑体"/>
          <w:color w:val="auto"/>
          <w:sz w:val="22"/>
          <w:szCs w:val="24"/>
          <w:lang w:val="en-US" w:eastAsia="zh-CN"/>
        </w:rPr>
        <w:t>（一）核心触发场景与调整规则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A5898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2B695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触发场景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58630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检测方式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FCAA9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调整逻辑</w:t>
            </w:r>
          </w:p>
        </w:tc>
      </w:tr>
      <w:tr w14:paraId="0BF3B7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52E3C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学业状态变化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A6DAE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绩点低于预期、同类课程连续挂科≥2门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FCC2B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降低高难度课程权重，下调压力阈值，生成补弱计划</w:t>
            </w:r>
          </w:p>
        </w:tc>
      </w:tr>
      <w:tr w14:paraId="293091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6E70D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发展目标变更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65F42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手动修改目标、频繁浏览某类课程/政策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43E4D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切换对应目标体系，保留可复用目标，提示补充关键信息</w:t>
            </w:r>
          </w:p>
        </w:tc>
      </w:tr>
      <w:tr w14:paraId="28DA76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487FD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外部资源变化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7533F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新增校企合作课程/科研项目、政策调整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FDCF7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纳入新增课程，调整对应目标权重，推送更新提醒</w:t>
            </w:r>
          </w:p>
        </w:tc>
      </w:tr>
      <w:tr w14:paraId="1350F1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3F85B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时间节点临近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9B2FA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保研前1年、实习前6个月、毕业前2学期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E7B02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提高核心目标完成度权重，适配关键时期时间需求</w:t>
            </w:r>
          </w:p>
        </w:tc>
      </w:tr>
    </w:tbl>
    <w:p w14:paraId="0E6F9674">
      <w:pPr>
        <w:ind w:firstLine="420" w:firstLineChars="0"/>
        <w:rPr>
          <w:rFonts w:hint="eastAsia" w:ascii="黑体" w:hAnsi="黑体" w:eastAsia="黑体" w:cs="黑体"/>
          <w:color w:val="auto"/>
          <w:sz w:val="22"/>
          <w:szCs w:val="24"/>
          <w:lang w:val="en-US" w:eastAsia="zh-CN"/>
        </w:rPr>
      </w:pPr>
      <w:bookmarkStart w:id="6" w:name="heading_6"/>
      <w:r>
        <w:rPr>
          <w:rFonts w:hint="eastAsia" w:ascii="黑体" w:hAnsi="黑体" w:eastAsia="黑体" w:cs="黑体"/>
          <w:color w:val="auto"/>
          <w:sz w:val="22"/>
          <w:szCs w:val="24"/>
          <w:lang w:val="en-US" w:eastAsia="zh-CN"/>
        </w:rPr>
        <w:t>（二）实时反馈优化</w:t>
      </w:r>
      <w:bookmarkEnd w:id="6"/>
    </w:p>
    <w:p w14:paraId="769809BF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学期初生成“目标达成进度条”，提示未达标项优化方向；</w:t>
      </w:r>
    </w:p>
    <w:p w14:paraId="3C7670A6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支持学生对方案适配性评分，系统基于反馈调整推荐逻辑。</w:t>
      </w:r>
    </w:p>
    <w:p w14:paraId="5619C1BC">
      <w:pPr>
        <w:ind w:firstLine="420" w:firstLineChars="0"/>
        <w:rPr>
          <w:rFonts w:hint="eastAsia"/>
          <w:color w:val="auto"/>
          <w:lang w:val="en-US" w:eastAsia="zh-CN"/>
        </w:rPr>
      </w:pPr>
    </w:p>
    <w:p w14:paraId="3C3D080E">
      <w:pPr>
        <w:rPr>
          <w:rFonts w:hint="eastAsia" w:ascii="黑体" w:hAnsi="黑体" w:eastAsia="黑体" w:cs="黑体"/>
          <w:color w:val="auto"/>
          <w:sz w:val="24"/>
          <w:szCs w:val="28"/>
          <w:lang w:val="en-US" w:eastAsia="zh-CN"/>
        </w:rPr>
      </w:pPr>
      <w:bookmarkStart w:id="7" w:name="heading_7"/>
      <w:r>
        <w:rPr>
          <w:rFonts w:hint="eastAsia" w:ascii="黑体" w:hAnsi="黑体" w:eastAsia="黑体" w:cs="黑体"/>
          <w:color w:val="auto"/>
          <w:sz w:val="24"/>
          <w:szCs w:val="28"/>
          <w:lang w:val="en-US" w:eastAsia="zh-CN"/>
        </w:rPr>
        <w:t>六、约束弹性调整（平衡合规与个性化）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85AA4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10C53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约束类型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51B0D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具体内容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C966F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弹性处理方式</w:t>
            </w:r>
          </w:p>
        </w:tc>
      </w:tr>
      <w:tr w14:paraId="647E07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26F21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硬约束（不可突破）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2BED9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先修关系、毕业最低学分、核心课必修、课程容量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ECC82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提供先修课补修通道；预测补选成功率并推荐备选课程（相似度≥80%）</w:t>
            </w:r>
          </w:p>
        </w:tc>
      </w:tr>
      <w:tr w14:paraId="287E43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03312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半弹性约束（有限突破）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9A5EE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学期最高学分、时间冲突频率、兴趣课程占比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DCDF1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绩点≥3.5可申请提高最高学分；核心课程冲突可允许≤3次/月；专业成绩达标可提高兴趣课占比至40%</w:t>
            </w:r>
          </w:p>
        </w:tc>
      </w:tr>
      <w:tr w14:paraId="3F1D77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B7BAD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软约束（灵活调整）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071EA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课程类型占比、考核方式偏好、教师选择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332B1">
            <w:pPr>
              <w:ind w:firstLine="420" w:firstLineChars="0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支持自定义占比范围；提供教师风格匹配推荐</w:t>
            </w:r>
          </w:p>
        </w:tc>
      </w:tr>
    </w:tbl>
    <w:p w14:paraId="12E97550">
      <w:pPr>
        <w:ind w:firstLine="420" w:firstLineChars="0"/>
        <w:rPr>
          <w:rFonts w:hint="eastAsia" w:ascii="黑体" w:hAnsi="黑体" w:eastAsia="黑体" w:cs="黑体"/>
          <w:color w:val="auto"/>
          <w:sz w:val="22"/>
          <w:szCs w:val="24"/>
          <w:lang w:val="en-US" w:eastAsia="zh-CN"/>
        </w:rPr>
      </w:pPr>
      <w:bookmarkStart w:id="8" w:name="heading_8"/>
      <w:r>
        <w:rPr>
          <w:rFonts w:hint="eastAsia" w:ascii="黑体" w:hAnsi="黑体" w:eastAsia="黑体" w:cs="黑体"/>
          <w:color w:val="auto"/>
          <w:sz w:val="22"/>
          <w:szCs w:val="24"/>
          <w:lang w:val="en-US" w:eastAsia="zh-CN"/>
        </w:rPr>
        <w:t>个性化豁免机制</w:t>
      </w:r>
      <w:bookmarkEnd w:id="8"/>
    </w:p>
    <w:p w14:paraId="42D8F975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特殊情况豁免：创业、竞赛集训等可提交材料申请突破半弹性约束；</w:t>
      </w:r>
    </w:p>
    <w:p w14:paraId="19938CFE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优秀学生通道：绩点前10%或有突出成果者，可跨年级选课、突破部分容量限制。</w:t>
      </w:r>
    </w:p>
    <w:p w14:paraId="1222801F">
      <w:pPr>
        <w:ind w:firstLine="420" w:firstLineChars="0"/>
        <w:rPr>
          <w:rFonts w:hint="eastAsia"/>
          <w:color w:val="auto"/>
          <w:lang w:val="en-US" w:eastAsia="zh-CN"/>
        </w:rPr>
      </w:pPr>
    </w:p>
    <w:p w14:paraId="4D15C347">
      <w:pPr>
        <w:rPr>
          <w:rFonts w:hint="eastAsia" w:ascii="黑体" w:hAnsi="黑体" w:eastAsia="黑体" w:cs="黑体"/>
          <w:color w:val="auto"/>
          <w:sz w:val="24"/>
          <w:szCs w:val="28"/>
          <w:lang w:val="en-US" w:eastAsia="zh-CN"/>
        </w:rPr>
      </w:pPr>
      <w:bookmarkStart w:id="9" w:name="heading_9"/>
      <w:r>
        <w:rPr>
          <w:rFonts w:hint="eastAsia" w:ascii="黑体" w:hAnsi="黑体" w:eastAsia="黑体" w:cs="黑体"/>
          <w:color w:val="auto"/>
          <w:sz w:val="24"/>
          <w:szCs w:val="28"/>
          <w:lang w:val="en-US" w:eastAsia="zh-CN"/>
        </w:rPr>
        <w:t>七</w:t>
      </w:r>
      <w:bookmarkStart w:id="11" w:name="_GoBack"/>
      <w:bookmarkEnd w:id="11"/>
      <w:r>
        <w:rPr>
          <w:rFonts w:hint="eastAsia" w:ascii="黑体" w:hAnsi="黑体" w:eastAsia="黑体" w:cs="黑体"/>
          <w:color w:val="auto"/>
          <w:sz w:val="24"/>
          <w:szCs w:val="28"/>
          <w:lang w:val="en-US" w:eastAsia="zh-CN"/>
        </w:rPr>
        <w:t>、配套支撑优化</w:t>
      </w:r>
      <w:bookmarkEnd w:id="9"/>
    </w:p>
    <w:p w14:paraId="196EC496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数据支撑：自动采集更新学校政策、教务数据、外部行业数据，加密保护隐私；</w:t>
      </w:r>
    </w:p>
    <w:p w14:paraId="56C6FD2F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可视化交互：用雷达图展示目标达成情况，不同颜色标注约束类型及调整空间；</w:t>
      </w:r>
    </w:p>
    <w:p w14:paraId="709B1360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智能咨询：集成AI助手解答目标设置、参数调整疑问，提供个性化建议。</w:t>
      </w:r>
    </w:p>
    <w:p w14:paraId="40019118">
      <w:pPr>
        <w:ind w:firstLine="420" w:firstLineChars="0"/>
        <w:rPr>
          <w:rFonts w:hint="eastAsia"/>
          <w:color w:val="auto"/>
          <w:lang w:val="en-US" w:eastAsia="zh-CN"/>
        </w:rPr>
      </w:pPr>
    </w:p>
    <w:p w14:paraId="64C89D05">
      <w:pPr>
        <w:rPr>
          <w:rFonts w:hint="eastAsia" w:ascii="黑体" w:hAnsi="黑体" w:eastAsia="黑体" w:cs="黑体"/>
          <w:color w:val="auto"/>
          <w:sz w:val="24"/>
          <w:szCs w:val="28"/>
          <w:lang w:val="en-US" w:eastAsia="zh-CN"/>
        </w:rPr>
      </w:pPr>
      <w:bookmarkStart w:id="10" w:name="heading_10"/>
      <w:r>
        <w:rPr>
          <w:rFonts w:hint="eastAsia" w:ascii="黑体" w:hAnsi="黑体" w:eastAsia="黑体" w:cs="黑体"/>
          <w:color w:val="auto"/>
          <w:sz w:val="24"/>
          <w:szCs w:val="28"/>
          <w:lang w:val="en-US" w:eastAsia="zh-CN"/>
        </w:rPr>
        <w:t>总结</w:t>
      </w:r>
      <w:bookmarkEnd w:id="10"/>
    </w:p>
    <w:p w14:paraId="5E8E55D8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本方案通过目标细分、参数自定义、动态调整、弹性约束四大核心举措，实现选课目标的精准个性化适配。既贴合保研、就业等不同发展需求，又赋予学生自主决策权，同时保障学业合规性与灵活性，让每个学生都能获得贴合自身的智能选课支持。</w:t>
      </w:r>
    </w:p>
    <w:p w14:paraId="72A9AF4E">
      <w:pPr>
        <w:ind w:firstLine="420" w:firstLineChars="0"/>
        <w:rPr>
          <w:rFonts w:hint="eastAsia"/>
          <w:color w:val="auto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77C5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71FD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81859DF"/>
    <w:rsid w:val="0E310E91"/>
    <w:rsid w:val="109E6C9D"/>
    <w:rsid w:val="34DA729D"/>
    <w:rsid w:val="3CD218F9"/>
    <w:rsid w:val="3FBB48C6"/>
    <w:rsid w:val="45307D31"/>
    <w:rsid w:val="4CAE0303"/>
    <w:rsid w:val="584A2E43"/>
    <w:rsid w:val="5D5A52C7"/>
    <w:rsid w:val="7F272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2849</Words>
  <Characters>3069</Characters>
  <TotalTime>9</TotalTime>
  <ScaleCrop>false</ScaleCrop>
  <LinksUpToDate>false</LinksUpToDate>
  <CharactersWithSpaces>3091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2025-12-27T11:08:00Z</dcterms:created>
  <dc:creator>Apache POI</dc:creator>
  <cp:lastModifiedBy>卢绪涵(2024010053)</cp:lastModifiedBy>
  <dcterms:modified xsi:type="dcterms:W3CDTF">2025-12-27T11:58:56Z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eyJoZGlkIjoiNzExZDczMGRmODg2MDBhZmFhZTQ5ZjU5MGQyMGRhZmMiLCJ1c2VySWQiOiIxNjMyMjkyOTE5In0=</vt:lpwstr>
  </property>
  <property fmtid="{D5CDD505-2E9C-101B-9397-08002B2CF9AE}" pid="3" name="KSOProductBuildVer">
    <vt:lpwstr>2052-12.1.0.23542</vt:lpwstr>
  </property>
  <property fmtid="{D5CDD505-2E9C-101B-9397-08002B2CF9AE}" pid="4" name="ICV">
    <vt:lpwstr>0AEBEB4106C24158B9E7CADA3FAABB73_12</vt:lpwstr>
  </property>
</Properties>
</file>