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49F0" w14:textId="1D09422C" w:rsidR="00C2362B" w:rsidRDefault="00941002" w:rsidP="00941002">
      <w:pPr>
        <w:jc w:val="center"/>
      </w:pPr>
      <w:r>
        <w:rPr>
          <w:noProof/>
          <w:lang w:eastAsia="pl-PL"/>
        </w:rPr>
        <w:drawing>
          <wp:inline distT="0" distB="0" distL="0" distR="0" wp14:anchorId="073C4C35" wp14:editId="3CBF55AC">
            <wp:extent cx="1800000" cy="1800000"/>
            <wp:effectExtent l="0" t="0" r="0" b="0"/>
            <wp:docPr id="2" name="Obraz 2" descr="A blue logo with a ship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A blue logo with a ship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2A66" w14:textId="0550A149" w:rsidR="00941002" w:rsidRPr="00941002" w:rsidRDefault="00941002" w:rsidP="00941002">
      <w:pPr>
        <w:jc w:val="center"/>
        <w:rPr>
          <w:rFonts w:cs="Times New Roman"/>
        </w:rPr>
      </w:pPr>
      <w:r w:rsidRPr="00941002">
        <w:rPr>
          <w:rFonts w:cs="Times New Roman"/>
        </w:rPr>
        <w:t>Studium Magisterskie</w:t>
      </w:r>
    </w:p>
    <w:p w14:paraId="4554FD42" w14:textId="3CC83830" w:rsidR="00941002" w:rsidRDefault="00941002" w:rsidP="00941002">
      <w:r w:rsidRPr="00941002">
        <w:rPr>
          <w:rFonts w:cs="Times New Roman"/>
        </w:rPr>
        <w:t>Kierunek: Metody Ilościowe w Ekonomii i Systemy Informacyjne</w:t>
      </w:r>
    </w:p>
    <w:p w14:paraId="3D31709B" w14:textId="77777777" w:rsidR="00941002" w:rsidRDefault="00941002" w:rsidP="00285594"/>
    <w:p w14:paraId="6A599D7F" w14:textId="4B02A232" w:rsidR="00941002" w:rsidRDefault="00941002" w:rsidP="00941002">
      <w:pPr>
        <w:spacing w:line="240" w:lineRule="auto"/>
        <w:ind w:left="4961"/>
      </w:pPr>
      <w:r>
        <w:t>Imię i nazwisko:</w:t>
      </w:r>
    </w:p>
    <w:p w14:paraId="1261FBEF" w14:textId="432C91C7" w:rsidR="00941002" w:rsidRDefault="00941002" w:rsidP="00941002">
      <w:pPr>
        <w:spacing w:line="240" w:lineRule="auto"/>
        <w:ind w:left="4961"/>
      </w:pPr>
      <w:r>
        <w:t>Maciej Lubera</w:t>
      </w:r>
    </w:p>
    <w:p w14:paraId="7A60BC1F" w14:textId="1E246785" w:rsidR="00941002" w:rsidRDefault="00941002" w:rsidP="00941002">
      <w:pPr>
        <w:spacing w:line="240" w:lineRule="auto"/>
        <w:ind w:left="4961"/>
      </w:pPr>
      <w:r>
        <w:t>Nr albumu: 131840</w:t>
      </w:r>
    </w:p>
    <w:p w14:paraId="35B8E94F" w14:textId="77777777" w:rsidR="00941002" w:rsidRDefault="00941002" w:rsidP="00941002">
      <w:pPr>
        <w:spacing w:line="240" w:lineRule="auto"/>
        <w:ind w:left="4961"/>
      </w:pPr>
    </w:p>
    <w:p w14:paraId="2C6BAC44" w14:textId="12636E2B" w:rsidR="00941002" w:rsidRDefault="00285594" w:rsidP="00941002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Analiza skuteczności strategii inwestycyjnej Pair</w:t>
      </w:r>
      <w:r w:rsidR="00783405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 xml:space="preserve"> Trading na spółkach sektora technologicznego NASDAQ</w:t>
      </w:r>
    </w:p>
    <w:p w14:paraId="62D757C1" w14:textId="77777777" w:rsidR="00285594" w:rsidRDefault="00285594" w:rsidP="00285594"/>
    <w:p w14:paraId="0996F2B1" w14:textId="77777777" w:rsidR="00285594" w:rsidRPr="00285594" w:rsidRDefault="00285594" w:rsidP="00285594"/>
    <w:p w14:paraId="3D8F27CA" w14:textId="207F97E8" w:rsidR="009704E3" w:rsidRDefault="00285594" w:rsidP="009704E3">
      <w:pPr>
        <w:ind w:left="4962" w:firstLine="0"/>
      </w:pPr>
      <w:r>
        <w:t>Praca magisterska</w:t>
      </w:r>
      <w:r w:rsidR="009704E3">
        <w:t xml:space="preserve"> p</w:t>
      </w:r>
      <w:r>
        <w:t>od</w:t>
      </w:r>
      <w:r w:rsidR="009704E3">
        <w:t xml:space="preserve"> </w:t>
      </w:r>
    </w:p>
    <w:p w14:paraId="61E70E46" w14:textId="2F35C9E5" w:rsidR="00285594" w:rsidRDefault="00285594" w:rsidP="009704E3">
      <w:pPr>
        <w:ind w:left="4962" w:firstLine="0"/>
      </w:pPr>
      <w:r>
        <w:t>kierunkiem</w:t>
      </w:r>
      <w:r w:rsidR="009704E3">
        <w:t xml:space="preserve"> </w:t>
      </w:r>
      <w:r>
        <w:t>naukowym</w:t>
      </w:r>
    </w:p>
    <w:p w14:paraId="058DE278" w14:textId="77777777" w:rsidR="009704E3" w:rsidRDefault="009072B4" w:rsidP="009704E3">
      <w:pPr>
        <w:ind w:left="4962" w:firstLine="0"/>
      </w:pPr>
      <w:r>
        <w:t xml:space="preserve">prof. dr hab. </w:t>
      </w:r>
    </w:p>
    <w:p w14:paraId="01D479FE" w14:textId="42385125" w:rsidR="00285594" w:rsidRDefault="009072B4" w:rsidP="009704E3">
      <w:pPr>
        <w:ind w:left="4962" w:firstLine="0"/>
      </w:pPr>
      <w:r>
        <w:t>Michał</w:t>
      </w:r>
      <w:r w:rsidR="009704E3">
        <w:t>a</w:t>
      </w:r>
      <w:r>
        <w:t xml:space="preserve"> Rubasz</w:t>
      </w:r>
      <w:r w:rsidR="009704E3">
        <w:t>ka</w:t>
      </w:r>
    </w:p>
    <w:p w14:paraId="63DFC9E4" w14:textId="77777777" w:rsidR="009072B4" w:rsidRDefault="009072B4" w:rsidP="009072B4"/>
    <w:p w14:paraId="72AD4E86" w14:textId="77777777" w:rsidR="009072B4" w:rsidRDefault="009072B4" w:rsidP="009072B4"/>
    <w:p w14:paraId="0A9A36E5" w14:textId="77777777" w:rsidR="009072B4" w:rsidRDefault="009072B4" w:rsidP="009072B4"/>
    <w:p w14:paraId="6BBCD7B0" w14:textId="77777777" w:rsidR="009072B4" w:rsidRDefault="009072B4" w:rsidP="009072B4"/>
    <w:p w14:paraId="3AE22E5C" w14:textId="7F1CD4A8" w:rsidR="009072B4" w:rsidRDefault="009072B4" w:rsidP="009072B4">
      <w:pPr>
        <w:jc w:val="center"/>
      </w:pPr>
      <w:r>
        <w:t>Warszawa 2025</w:t>
      </w:r>
    </w:p>
    <w:p w14:paraId="1017246D" w14:textId="77777777" w:rsidR="009072B4" w:rsidRDefault="009072B4">
      <w:r>
        <w:br w:type="page"/>
      </w:r>
    </w:p>
    <w:p w14:paraId="133BFB1A" w14:textId="0B862D4F" w:rsidR="00783405" w:rsidRDefault="00783405">
      <w:r>
        <w:lastRenderedPageBreak/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pl-PL"/>
          <w14:ligatures w14:val="standardContextual"/>
        </w:rPr>
        <w:id w:val="-547885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E33702" w14:textId="551301A4" w:rsidR="00EA630D" w:rsidRDefault="00EA630D">
          <w:pPr>
            <w:pStyle w:val="TOCHeading"/>
          </w:pPr>
          <w:r>
            <w:t>Spis treści</w:t>
          </w:r>
        </w:p>
        <w:p w14:paraId="1616F37B" w14:textId="27B150E0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251923" w:history="1">
            <w:r w:rsidRPr="006B7E84">
              <w:rPr>
                <w:rStyle w:val="Hyperlink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699D" w14:textId="69CD66E1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hyperlink w:anchor="_Toc203251924" w:history="1">
            <w:r w:rsidRPr="006B7E84">
              <w:rPr>
                <w:rStyle w:val="Hyperlink"/>
                <w:noProof/>
              </w:rPr>
              <w:t>Rozdział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5ACB" w14:textId="38B5F971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hyperlink w:anchor="_Toc203251925" w:history="1">
            <w:r w:rsidRPr="006B7E84">
              <w:rPr>
                <w:rStyle w:val="Hyperlink"/>
                <w:noProof/>
              </w:rPr>
              <w:t>Charakterystyka wybranych strategii tradingowych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DE69" w14:textId="070749C6" w:rsidR="00EA630D" w:rsidRDefault="00EA630D">
          <w:pPr>
            <w:pStyle w:val="TOC3"/>
            <w:tabs>
              <w:tab w:val="left" w:pos="1200"/>
              <w:tab w:val="right" w:leader="dot" w:pos="7359"/>
            </w:tabs>
            <w:rPr>
              <w:noProof/>
            </w:rPr>
          </w:pPr>
          <w:hyperlink w:anchor="_Toc203251926" w:history="1">
            <w:r w:rsidRPr="006B7E84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6B7E84">
              <w:rPr>
                <w:rStyle w:val="Hyperlink"/>
                <w:noProof/>
              </w:rPr>
              <w:t>Mean reversion jak fundament arbitrażu statsycznego.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329D" w14:textId="1D893A5D" w:rsidR="00EA630D" w:rsidRDefault="00EA630D">
          <w:pPr>
            <w:pStyle w:val="TOC3"/>
            <w:tabs>
              <w:tab w:val="left" w:pos="1200"/>
              <w:tab w:val="right" w:leader="dot" w:pos="7359"/>
            </w:tabs>
            <w:rPr>
              <w:noProof/>
            </w:rPr>
          </w:pPr>
          <w:hyperlink w:anchor="_Toc203251927" w:history="1">
            <w:r w:rsidRPr="006B7E84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6B7E84">
              <w:rPr>
                <w:rStyle w:val="Hyperlink"/>
                <w:noProof/>
              </w:rPr>
              <w:t>Strategie momentum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B463" w14:textId="3255112C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hyperlink w:anchor="_Toc203251928" w:history="1">
            <w:r w:rsidRPr="006B7E84">
              <w:rPr>
                <w:rStyle w:val="Hyperlink"/>
                <w:noProof/>
              </w:rPr>
              <w:t>Rozdział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FD7A" w14:textId="52E452A5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hyperlink w:anchor="_Toc203251929" w:history="1">
            <w:r w:rsidRPr="006B7E84">
              <w:rPr>
                <w:rStyle w:val="Hyperlink"/>
                <w:noProof/>
              </w:rPr>
              <w:t>Specyfikacja strategii Pairs Trading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9FE0C" w14:textId="62659150" w:rsidR="00EA630D" w:rsidRDefault="00EA630D">
          <w:pPr>
            <w:pStyle w:val="TOC3"/>
            <w:tabs>
              <w:tab w:val="right" w:leader="dot" w:pos="7359"/>
            </w:tabs>
            <w:rPr>
              <w:noProof/>
            </w:rPr>
          </w:pPr>
          <w:hyperlink w:anchor="_Toc203251931" w:history="1">
            <w:r w:rsidRPr="006B7E84">
              <w:rPr>
                <w:rStyle w:val="Hyperlink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210C9" w14:textId="66E9D505" w:rsidR="00EA630D" w:rsidRDefault="00EA630D">
          <w:r>
            <w:rPr>
              <w:b/>
              <w:bCs/>
              <w:noProof/>
            </w:rPr>
            <w:fldChar w:fldCharType="end"/>
          </w:r>
        </w:p>
      </w:sdtContent>
    </w:sdt>
    <w:p w14:paraId="3584E054" w14:textId="4683B549" w:rsidR="00783405" w:rsidRDefault="00783405" w:rsidP="009072B4"/>
    <w:p w14:paraId="503739BA" w14:textId="77777777" w:rsidR="00783405" w:rsidRDefault="00783405">
      <w:r>
        <w:br w:type="page"/>
      </w:r>
    </w:p>
    <w:p w14:paraId="3073610E" w14:textId="555F2C54" w:rsidR="006C2043" w:rsidRPr="00331804" w:rsidRDefault="00783405" w:rsidP="00030CAD">
      <w:pPr>
        <w:pStyle w:val="Heading2"/>
      </w:pPr>
      <w:bookmarkStart w:id="0" w:name="_Toc203251923"/>
      <w:r w:rsidRPr="00331804">
        <w:lastRenderedPageBreak/>
        <w:t>Wstęp</w:t>
      </w:r>
      <w:bookmarkEnd w:id="0"/>
    </w:p>
    <w:p w14:paraId="16CD206F" w14:textId="706E928F" w:rsidR="00CA19C0" w:rsidRDefault="00CA19C0" w:rsidP="00E14556">
      <w:pPr>
        <w:ind w:firstLine="0"/>
      </w:pPr>
      <w:r w:rsidRPr="00CA19C0">
        <w:t xml:space="preserve">Strategie inwestycyjne od lat stanowią przedmiot zainteresowania zarówno środowisk naukowych, jak i praktyków rynkowych. Ich mnogość i różnorodność wynikają przede wszystkim z odmiennych celów inwestycji. W zdecydowanej większości przypadków celem nadrzędnym jest osiągnięcie najwyższego możliwego zysku przy określonym poziomie ryzyka, co determinuje wybór odpowiednich rozwiązań. </w:t>
      </w:r>
    </w:p>
    <w:p w14:paraId="79E44FAA" w14:textId="04C62F4C" w:rsidR="004D57AB" w:rsidRPr="004D57AB" w:rsidRDefault="00CA19C0" w:rsidP="00E14556">
      <w:r w:rsidRPr="00CA19C0">
        <w:t>Jeżeli celem inwestora jest ochrona działalności podstawowej przed negatywnymi skutkami wzrostu cen surowców, wówczas stosowaną strategią staje się zabezpieczenie za pomocą instrumentów pochodnych. Dzięki temu ograniczone zostaje ryzyko związane z fluktuacjami cen, a w konsekwencji możliwe jest utrzymanie stabilnych marż zysku. Natomiast w sytuacji, gdy priorytetem jest generowanie zysku bezpośrednio poprzez transakcje na rynku finansowym, inwestorzy częściej sięgają po strategie drugiego rodzaju, które służą właśnie osiąganiu takich rezultatów.</w:t>
      </w:r>
      <w:r>
        <w:t xml:space="preserve"> </w:t>
      </w:r>
      <w:r w:rsidR="004D57AB">
        <w:t xml:space="preserve">Najbardziej znane większości inwestorów są 2 podejścia. Pierwszym z nich jest analiza fundamentalna. W jej przypadku decyzję inwestycyjne </w:t>
      </w:r>
      <w:r w:rsidR="004956F2">
        <w:t>podejmuje</w:t>
      </w:r>
      <w:r w:rsidR="004D57AB">
        <w:t xml:space="preserve"> się w oparciu o jakościową </w:t>
      </w:r>
      <w:r w:rsidR="00104BD9">
        <w:t>ocenę</w:t>
      </w:r>
      <w:r w:rsidR="004D57AB">
        <w:t xml:space="preserve"> spółek</w:t>
      </w:r>
      <w:r w:rsidR="00E601CB">
        <w:t>,</w:t>
      </w:r>
      <w:r w:rsidR="004D57AB">
        <w:t xml:space="preserve"> połączoną </w:t>
      </w:r>
      <w:r w:rsidR="00104BD9">
        <w:t>z analizą wskaźników finansowych</w:t>
      </w:r>
      <w:r w:rsidR="00FB0EDC">
        <w:t>, na podstawie których jest podejmowana próba zakupu spółek niedowartościowanych</w:t>
      </w:r>
      <w:r w:rsidR="00104BD9">
        <w:t>.</w:t>
      </w:r>
      <w:r w:rsidR="003F05E7">
        <w:t xml:space="preserve"> </w:t>
      </w:r>
      <w:r w:rsidR="00104BD9">
        <w:t>Drugim podejściem jest analiza techniczna</w:t>
      </w:r>
      <w:r w:rsidR="00FB0EDC">
        <w:t>, bazuj</w:t>
      </w:r>
      <w:r w:rsidR="00E601CB">
        <w:t>ąca</w:t>
      </w:r>
      <w:r w:rsidR="00FB0EDC">
        <w:t xml:space="preserve"> na szukaniu schematów i trendów</w:t>
      </w:r>
      <w:r w:rsidR="0077634F">
        <w:t xml:space="preserve"> w celu przewidzenia kolejnych ruchó</w:t>
      </w:r>
      <w:r w:rsidR="00066812">
        <w:t>w cen aktywów</w:t>
      </w:r>
      <w:r w:rsidR="00FB0EDC">
        <w:t>.</w:t>
      </w:r>
      <w:r w:rsidR="00066812">
        <w:t xml:space="preserve"> Wiele badań wykazuje powszechność w wykorzystywaniu tych podejść </w:t>
      </w:r>
      <w:r w:rsidR="00E601CB">
        <w:t xml:space="preserve">na rynkach finansowych </w:t>
      </w:r>
      <w:r w:rsidR="00066812">
        <w:t>(Xing, 2024</w:t>
      </w:r>
      <w:r w:rsidR="00F961EF">
        <w:t>, s. 3334</w:t>
      </w:r>
      <w:r w:rsidR="00066812">
        <w:t>).</w:t>
      </w:r>
      <w:r w:rsidR="0077634F">
        <w:t xml:space="preserve">  </w:t>
      </w:r>
    </w:p>
    <w:p w14:paraId="64753756" w14:textId="2C047DE9" w:rsidR="00E14556" w:rsidRDefault="009A5D86" w:rsidP="00E14556">
      <w:r>
        <w:t>Wśród strategii inwestycyjnych opartych o elementy analizy technicznej, b</w:t>
      </w:r>
      <w:r w:rsidR="005054F8">
        <w:t>ardzo znan</w:t>
      </w:r>
      <w:r w:rsidR="00BD5DA0">
        <w:t>a</w:t>
      </w:r>
      <w:r w:rsidR="005054F8">
        <w:t xml:space="preserve"> jest strategia momentum</w:t>
      </w:r>
      <w:r w:rsidR="004956F2">
        <w:t>.</w:t>
      </w:r>
      <w:r w:rsidR="005054F8">
        <w:t xml:space="preserve"> </w:t>
      </w:r>
      <w:r w:rsidR="004956F2" w:rsidRPr="004956F2">
        <w:t>Jej podstawowa zasada opiera się na prost</w:t>
      </w:r>
      <w:r w:rsidR="00421835">
        <w:t xml:space="preserve">ym algorytmie, że </w:t>
      </w:r>
      <w:r w:rsidR="004956F2" w:rsidRPr="004956F2">
        <w:t xml:space="preserve">inwestor zajmuje pozycje długie </w:t>
      </w:r>
      <w:r w:rsidR="00182890">
        <w:t>w</w:t>
      </w:r>
      <w:r w:rsidR="004956F2" w:rsidRPr="004956F2">
        <w:t xml:space="preserve"> aktywach, które w ostatnim okresie odnotowały wzrosty cen, oraz pozycje krótkie </w:t>
      </w:r>
      <w:r w:rsidR="00182890">
        <w:t>w</w:t>
      </w:r>
      <w:r w:rsidR="004956F2" w:rsidRPr="004956F2">
        <w:t xml:space="preserve"> instrumentach wykazujących tendencję spadkową.</w:t>
      </w:r>
      <w:r w:rsidR="00BD5DA0">
        <w:t xml:space="preserve"> (Jegadeesh i Titman, 1993</w:t>
      </w:r>
      <w:r w:rsidR="007C680B">
        <w:t>, s. 85-90</w:t>
      </w:r>
      <w:r w:rsidR="00BD5DA0">
        <w:t>).</w:t>
      </w:r>
      <w:r w:rsidR="00F413F4">
        <w:t xml:space="preserve"> Popularna jest również </w:t>
      </w:r>
      <w:r w:rsidR="00450888">
        <w:t>strategi</w:t>
      </w:r>
      <w:r w:rsidR="00F413F4">
        <w:t xml:space="preserve">a oparta o </w:t>
      </w:r>
      <w:r w:rsidR="00450888">
        <w:t>arbitraż statystyczny</w:t>
      </w:r>
      <w:r w:rsidR="008424BB">
        <w:t xml:space="preserve">, który </w:t>
      </w:r>
      <w:r w:rsidR="00F413F4">
        <w:t xml:space="preserve">polega </w:t>
      </w:r>
      <w:r w:rsidR="00331804">
        <w:t>na zajmowaniu pozycji w oparciu o ściśle określone reguły wynikające</w:t>
      </w:r>
      <w:r w:rsidR="005054F8">
        <w:t xml:space="preserve"> </w:t>
      </w:r>
      <w:r w:rsidR="009F3921">
        <w:t>z</w:t>
      </w:r>
      <w:r w:rsidR="005054F8">
        <w:t xml:space="preserve"> modeli statystycznych (Avellaneda, 2008</w:t>
      </w:r>
      <w:r w:rsidR="007C680B">
        <w:t>, s. 5-15</w:t>
      </w:r>
      <w:r w:rsidR="005054F8">
        <w:t>)</w:t>
      </w:r>
      <w:r w:rsidR="00512559">
        <w:t xml:space="preserve"> oraz wykorzystywanie tym sposobem nieefektywności rynkowych</w:t>
      </w:r>
      <w:r w:rsidR="008424BB">
        <w:t>.</w:t>
      </w:r>
      <w:r w:rsidR="00BD5DA0">
        <w:t xml:space="preserve"> </w:t>
      </w:r>
      <w:r w:rsidR="00FC27D3">
        <w:t>Przykładem</w:t>
      </w:r>
      <w:r w:rsidR="00BD5DA0">
        <w:t xml:space="preserve"> metod abitrażu jest strategia Pairs Trading, </w:t>
      </w:r>
      <w:r w:rsidR="009F3921">
        <w:t xml:space="preserve">stanowiąca </w:t>
      </w:r>
      <w:r w:rsidR="004956F2">
        <w:t xml:space="preserve">główny </w:t>
      </w:r>
      <w:r w:rsidR="004956F2">
        <w:lastRenderedPageBreak/>
        <w:t>obszar badawczy</w:t>
      </w:r>
      <w:r w:rsidR="009F3921">
        <w:t xml:space="preserve"> tej</w:t>
      </w:r>
      <w:r w:rsidR="004956F2">
        <w:t xml:space="preserve"> pracy magisterskiej. N</w:t>
      </w:r>
      <w:r w:rsidR="00BD5DA0">
        <w:t>ależ</w:t>
      </w:r>
      <w:r w:rsidR="00512559">
        <w:t>y</w:t>
      </w:r>
      <w:r w:rsidR="00BD5DA0">
        <w:t xml:space="preserve"> do kategorii</w:t>
      </w:r>
      <w:r w:rsidR="004956F2">
        <w:t xml:space="preserve"> strategii opartych o</w:t>
      </w:r>
      <w:r w:rsidR="00BD5DA0">
        <w:t xml:space="preserve"> </w:t>
      </w:r>
      <w:r w:rsidR="00512559">
        <w:t>m</w:t>
      </w:r>
      <w:r w:rsidR="00BD5DA0">
        <w:t>ean</w:t>
      </w:r>
      <w:r w:rsidR="00512559">
        <w:t>-r</w:t>
      </w:r>
      <w:r w:rsidR="00BD5DA0">
        <w:t>eversion</w:t>
      </w:r>
      <w:r w:rsidR="004956F2">
        <w:t>, czyli założeniu że</w:t>
      </w:r>
      <w:r w:rsidR="00512559">
        <w:t xml:space="preserve"> istnieją</w:t>
      </w:r>
      <w:r w:rsidR="004956F2">
        <w:t xml:space="preserve"> aktyw</w:t>
      </w:r>
      <w:r w:rsidR="00512559">
        <w:t xml:space="preserve">a, których ceny wykazują tendencje powrotu do </w:t>
      </w:r>
      <w:r w:rsidR="004956F2">
        <w:t xml:space="preserve">długookresowej </w:t>
      </w:r>
      <w:r w:rsidR="00512559">
        <w:t>relacji równowagowej po krótkookresowych odchyleniach</w:t>
      </w:r>
      <w:r w:rsidR="00BD5DA0">
        <w:t>.</w:t>
      </w:r>
    </w:p>
    <w:p w14:paraId="7AB95026" w14:textId="497688E8" w:rsidR="00706B59" w:rsidRPr="00706B59" w:rsidRDefault="00800B89" w:rsidP="00BD5DA0">
      <w:r>
        <w:t xml:space="preserve">Celem </w:t>
      </w:r>
      <w:r w:rsidR="003C57C5">
        <w:t>pracy</w:t>
      </w:r>
      <w:r>
        <w:t xml:space="preserve"> jest przedstawienie różn</w:t>
      </w:r>
      <w:r w:rsidR="003C57C5">
        <w:t>orodnych</w:t>
      </w:r>
      <w:r>
        <w:t xml:space="preserve"> koncepcji i </w:t>
      </w:r>
      <w:r w:rsidR="003C57C5">
        <w:t>metodologii</w:t>
      </w:r>
      <w:r>
        <w:t xml:space="preserve"> </w:t>
      </w:r>
      <w:r w:rsidR="00512559">
        <w:t xml:space="preserve"> </w:t>
      </w:r>
      <w:r w:rsidR="003C57C5">
        <w:t>stosowanych w</w:t>
      </w:r>
      <w:r w:rsidR="00512559">
        <w:t xml:space="preserve"> strategi</w:t>
      </w:r>
      <w:r w:rsidR="003C57C5">
        <w:t>ach</w:t>
      </w:r>
      <w:r w:rsidR="00512559">
        <w:t xml:space="preserve"> inwestycyjnych </w:t>
      </w:r>
      <w:r>
        <w:t xml:space="preserve">wraz </w:t>
      </w:r>
      <w:r w:rsidR="00512559">
        <w:t xml:space="preserve"> z </w:t>
      </w:r>
      <w:r>
        <w:t>uwzględnie</w:t>
      </w:r>
      <w:r w:rsidR="00331804">
        <w:t>niem</w:t>
      </w:r>
      <w:r>
        <w:t xml:space="preserve"> miejsca </w:t>
      </w:r>
      <w:r w:rsidR="003C57C5">
        <w:t xml:space="preserve"> strategii </w:t>
      </w:r>
      <w:r>
        <w:t xml:space="preserve">Pairs Trading w tym </w:t>
      </w:r>
      <w:r w:rsidR="003C57C5">
        <w:t>spektrum</w:t>
      </w:r>
      <w:r w:rsidR="004956F2">
        <w:t xml:space="preserve">. </w:t>
      </w:r>
      <w:commentRangeStart w:id="1"/>
      <w:r w:rsidR="00A01A38">
        <w:t>P</w:t>
      </w:r>
      <w:r>
        <w:t>rze</w:t>
      </w:r>
      <w:r w:rsidR="00A01A38">
        <w:t>dstawię</w:t>
      </w:r>
      <w:commentRangeEnd w:id="1"/>
      <w:r w:rsidR="0051364D">
        <w:rPr>
          <w:rStyle w:val="CommentReference"/>
        </w:rPr>
        <w:commentReference w:id="1"/>
      </w:r>
      <w:r w:rsidR="00A01A38">
        <w:t xml:space="preserve"> </w:t>
      </w:r>
      <w:r>
        <w:t>różn</w:t>
      </w:r>
      <w:r w:rsidR="00A01A38">
        <w:t>e</w:t>
      </w:r>
      <w:r>
        <w:t xml:space="preserve"> podejścia i pomysły jakie powstały w celu usprawnienia skuteczności </w:t>
      </w:r>
      <w:r w:rsidR="0051364D">
        <w:t xml:space="preserve">tej </w:t>
      </w:r>
      <w:r>
        <w:t xml:space="preserve">strategii. </w:t>
      </w:r>
      <w:r w:rsidR="00074892">
        <w:t>Następnie przeprowadzę analizę jej skuteczności dla</w:t>
      </w:r>
      <w:r>
        <w:t xml:space="preserve"> 10 spół</w:t>
      </w:r>
      <w:r w:rsidR="00074892">
        <w:t>e</w:t>
      </w:r>
      <w:r>
        <w:t>k sektora technologicznego</w:t>
      </w:r>
      <w:r w:rsidR="004956F2">
        <w:t xml:space="preserve"> </w:t>
      </w:r>
      <w:r w:rsidR="00444817">
        <w:t>wchodzących w skład</w:t>
      </w:r>
      <w:r w:rsidR="004956F2">
        <w:t xml:space="preserve"> indeks</w:t>
      </w:r>
      <w:r w:rsidR="00444817">
        <w:t>u</w:t>
      </w:r>
      <w:r>
        <w:t xml:space="preserve"> S&amp;P</w:t>
      </w:r>
      <w:r w:rsidR="004956F2">
        <w:t xml:space="preserve"> 500</w:t>
      </w:r>
      <w:r>
        <w:t xml:space="preserve"> w latach 2022-2023. </w:t>
      </w:r>
      <w:r w:rsidR="00512559">
        <w:t xml:space="preserve">W ramach swojego badania </w:t>
      </w:r>
      <w:r w:rsidR="00444817">
        <w:t xml:space="preserve">dokonam </w:t>
      </w:r>
      <w:r w:rsidR="00512559">
        <w:t>również weryfik</w:t>
      </w:r>
      <w:r w:rsidR="00444817">
        <w:t>acji</w:t>
      </w:r>
      <w:r w:rsidR="00512559">
        <w:t xml:space="preserve"> skutecznoś</w:t>
      </w:r>
      <w:r w:rsidR="00444817">
        <w:t>ci</w:t>
      </w:r>
      <w:r w:rsidR="00512559">
        <w:t xml:space="preserve"> strategii przy braku selekcji</w:t>
      </w:r>
      <w:r w:rsidR="003C57C5">
        <w:t xml:space="preserve"> par</w:t>
      </w:r>
      <w:r w:rsidR="00512559">
        <w:t xml:space="preserve"> w oparciu</w:t>
      </w:r>
      <w:r w:rsidR="003C57C5">
        <w:t xml:space="preserve"> o opracowane</w:t>
      </w:r>
      <w:r w:rsidR="00512559">
        <w:t xml:space="preserve"> metody statystyczne</w:t>
      </w:r>
      <w:r w:rsidR="003C57C5">
        <w:t xml:space="preserve">. </w:t>
      </w:r>
      <w:r w:rsidR="003C57C5" w:rsidRPr="003C57C5">
        <w:t>Takie podejście umożliwi</w:t>
      </w:r>
      <w:r w:rsidR="003C57C5">
        <w:t xml:space="preserve"> </w:t>
      </w:r>
      <w:r w:rsidR="003C57C5" w:rsidRPr="003C57C5">
        <w:t>praktyczną weryfikację teoretycznych założeń strategii</w:t>
      </w:r>
      <w:r w:rsidR="003C57C5">
        <w:t>.</w:t>
      </w:r>
    </w:p>
    <w:p w14:paraId="59924C34" w14:textId="4C2EFAE8" w:rsidR="006C2043" w:rsidRPr="006C2043" w:rsidRDefault="00DF5AE1" w:rsidP="006C2043">
      <w:pPr>
        <w:pStyle w:val="Pierwszyakapit"/>
      </w:pPr>
      <w:r>
        <w:t xml:space="preserve"> </w:t>
      </w:r>
      <w:r w:rsidR="0055163D">
        <w:t xml:space="preserve"> </w:t>
      </w:r>
      <w:r w:rsidR="006C2043">
        <w:t xml:space="preserve"> </w:t>
      </w:r>
    </w:p>
    <w:p w14:paraId="0F17E015" w14:textId="77777777" w:rsidR="00B768B5" w:rsidRDefault="00B768B5" w:rsidP="00A13C50"/>
    <w:p w14:paraId="06D1CA5C" w14:textId="77777777" w:rsidR="00865224" w:rsidRDefault="00865224" w:rsidP="00A13C50"/>
    <w:p w14:paraId="561D5504" w14:textId="77777777" w:rsidR="009B566F" w:rsidRDefault="009B566F">
      <w:pPr>
        <w:spacing w:after="160" w:line="259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br w:type="page"/>
      </w:r>
    </w:p>
    <w:p w14:paraId="19844901" w14:textId="77777777" w:rsidR="0049458B" w:rsidRPr="004B0F61" w:rsidRDefault="00865224" w:rsidP="00030CAD">
      <w:pPr>
        <w:pStyle w:val="Heading2"/>
      </w:pPr>
      <w:bookmarkStart w:id="2" w:name="_Toc203251924"/>
      <w:r w:rsidRPr="004B0F61">
        <w:lastRenderedPageBreak/>
        <w:t>Rozdział I</w:t>
      </w:r>
      <w:bookmarkEnd w:id="2"/>
    </w:p>
    <w:p w14:paraId="75EF65EB" w14:textId="0BD0022B" w:rsidR="004B0F61" w:rsidRDefault="00220B12" w:rsidP="00030CAD">
      <w:pPr>
        <w:pStyle w:val="Heading2"/>
      </w:pPr>
      <w:bookmarkStart w:id="3" w:name="_Toc203251925"/>
      <w:r w:rsidRPr="004B0F61">
        <w:t xml:space="preserve">Charakterystyka </w:t>
      </w:r>
      <w:r w:rsidR="00655C15">
        <w:t>wybranych strategii tradingowych</w:t>
      </w:r>
      <w:bookmarkEnd w:id="3"/>
    </w:p>
    <w:p w14:paraId="315AEDA0" w14:textId="04F4F7F1" w:rsidR="004B0F61" w:rsidRPr="00C32275" w:rsidRDefault="009A01A4" w:rsidP="00C32275">
      <w:pPr>
        <w:pStyle w:val="Heading3"/>
      </w:pPr>
      <w:bookmarkStart w:id="4" w:name="_Toc203251926"/>
      <w:r>
        <w:t>Mean</w:t>
      </w:r>
      <w:r w:rsidR="003C57C5">
        <w:t>-</w:t>
      </w:r>
      <w:r>
        <w:t xml:space="preserve">reversion jak fundament arbitrażu </w:t>
      </w:r>
      <w:r w:rsidR="003C57C5">
        <w:t>statystycznego</w:t>
      </w:r>
      <w:r w:rsidR="006432D3">
        <w:t>.</w:t>
      </w:r>
      <w:bookmarkEnd w:id="4"/>
    </w:p>
    <w:p w14:paraId="52006918" w14:textId="1E3B6C5C" w:rsidR="00E14556" w:rsidRPr="00E14556" w:rsidRDefault="00627825" w:rsidP="00E14556">
      <w:pPr>
        <w:pStyle w:val="Pierwszyakapit"/>
      </w:pPr>
      <w:r>
        <w:t xml:space="preserve">Głównym założeniem statystycznego arbitrażu jest </w:t>
      </w:r>
      <w:r w:rsidR="007C1DCE">
        <w:t>fakt</w:t>
      </w:r>
      <w:r w:rsidR="00C5562C">
        <w:t>, że rynki nie działają w pełni efektywnie</w:t>
      </w:r>
      <w:r w:rsidR="001D0650">
        <w:t>.</w:t>
      </w:r>
      <w:r w:rsidR="009C759C">
        <w:t xml:space="preserve"> </w:t>
      </w:r>
      <w:r w:rsidR="00862A9E">
        <w:t>Zazwyczaj spełniony jest jedynie warunek</w:t>
      </w:r>
      <w:r w:rsidR="009C759C">
        <w:t xml:space="preserve"> słabej lub pół słabej formy teorii rynków efektywnych (Fama, 1970</w:t>
      </w:r>
      <w:r w:rsidR="006A6661">
        <w:t>. s. 387-395</w:t>
      </w:r>
      <w:r w:rsidR="009C759C">
        <w:t>).</w:t>
      </w:r>
      <w:r w:rsidR="004508DA">
        <w:t xml:space="preserve"> W praktyce są to jednak nieefektywności krótkotrwałe, które są zazwyczaj szybko korygowane przez działania arbitrażystów.</w:t>
      </w:r>
    </w:p>
    <w:p w14:paraId="62467843" w14:textId="11ADA407" w:rsidR="004508DA" w:rsidRDefault="009C759C" w:rsidP="004508DA">
      <w:r>
        <w:t>Fundamentalnym filarem arbitrażu statystycznego jest koncepcja mean</w:t>
      </w:r>
      <w:r w:rsidR="003C57C5">
        <w:t>-</w:t>
      </w:r>
      <w:r>
        <w:t>reversion</w:t>
      </w:r>
      <w:r w:rsidR="003C57C5">
        <w:t xml:space="preserve">. </w:t>
      </w:r>
      <w:r>
        <w:t xml:space="preserve">Zakłada </w:t>
      </w:r>
      <w:r w:rsidR="002700DF">
        <w:t xml:space="preserve">ona, </w:t>
      </w:r>
      <w:r>
        <w:t>że jeżeli aktywa historycznie poruszały się w określonym stosunku, to w długim terminie odchylenia ich cen w końcu się skorygują. Oznacza to</w:t>
      </w:r>
      <w:r w:rsidR="002700DF">
        <w:t>,</w:t>
      </w:r>
      <w:r>
        <w:t xml:space="preserve"> że za pomocą modeli matematycznych jest możliwe </w:t>
      </w:r>
      <w:r w:rsidR="004508DA">
        <w:t>znalezienie anomalii</w:t>
      </w:r>
      <w:r w:rsidR="002700DF">
        <w:t xml:space="preserve">, które pozwolą </w:t>
      </w:r>
      <w:r w:rsidR="004508DA">
        <w:t>na założenie odpowiednich pozycji. W momencie gdy dojdzie do korekty</w:t>
      </w:r>
      <w:r w:rsidR="00E96B9B">
        <w:t xml:space="preserve"> trendó</w:t>
      </w:r>
      <w:r w:rsidR="00511761">
        <w:t>w</w:t>
      </w:r>
      <w:r w:rsidR="004508DA">
        <w:t>, inwestor odnosi zysk.</w:t>
      </w:r>
    </w:p>
    <w:p w14:paraId="163BB8D4" w14:textId="5F02BB43" w:rsidR="004B0F61" w:rsidRDefault="004508DA" w:rsidP="004508DA">
      <w:r>
        <w:t xml:space="preserve">Bardzo często </w:t>
      </w:r>
      <w:r w:rsidR="002F152E">
        <w:t>strategie opierają się również o założenie neutralności rynkowej. Oznacza to</w:t>
      </w:r>
      <w:r w:rsidR="00511761">
        <w:t>,</w:t>
      </w:r>
      <w:r w:rsidR="002F152E">
        <w:t xml:space="preserve"> że tworzone są portfele o beta bliskim 0, czyli o zwrotach nieskorelowanych z ruchami szerokiego rynku. Dzięki temu zyski lub straty wynikają</w:t>
      </w:r>
      <w:r w:rsidR="00511761">
        <w:t xml:space="preserve"> z</w:t>
      </w:r>
      <w:r w:rsidR="002F152E">
        <w:t xml:space="preserve"> dobrych lub złych oszacowań cen aktywów, a nie z trendów rynkowych. </w:t>
      </w:r>
      <w:r w:rsidR="003C57C5">
        <w:t>Strategia często j</w:t>
      </w:r>
      <w:r w:rsidR="002F152E">
        <w:t xml:space="preserve">est realizowana przez otwieranie przeciwstawnych pozycji w taki sposób, aby portfel nie miał ani ekspozycji długiej ani krótkiej. </w:t>
      </w:r>
      <w:r w:rsidR="003C57C5">
        <w:t>G</w:t>
      </w:r>
      <w:r w:rsidR="002F152E">
        <w:t>dy zależności pomiędzy wybranymi aktywami spełniają założenia mean</w:t>
      </w:r>
      <w:r w:rsidR="003C57C5">
        <w:t>-</w:t>
      </w:r>
      <w:r w:rsidR="002F152E">
        <w:t>reversion, ceny aktywów prędzej czy później zbiegną do swojej średniej historycznej</w:t>
      </w:r>
      <w:r w:rsidR="006A6661">
        <w:t xml:space="preserve"> (Moon, 2019, s. 1-6</w:t>
      </w:r>
      <w:r w:rsidR="00BF3278">
        <w:t xml:space="preserve">; </w:t>
      </w:r>
      <w:r w:rsidR="006A6661">
        <w:t>Requejo, 2024, s</w:t>
      </w:r>
      <w:r w:rsidR="002F152E">
        <w:t>.</w:t>
      </w:r>
      <w:r w:rsidR="006A6661">
        <w:t xml:space="preserve"> 1-5).</w:t>
      </w:r>
    </w:p>
    <w:p w14:paraId="5753CDF5" w14:textId="6D115A04" w:rsidR="00475432" w:rsidRDefault="00475432" w:rsidP="004508DA">
      <w:r>
        <w:t>Przy budowie portfeli konieczna jest świadomość ryzyk i ograniczeń podejścia mean</w:t>
      </w:r>
      <w:r w:rsidR="003C57C5">
        <w:t>-</w:t>
      </w:r>
      <w:r>
        <w:t>reversion</w:t>
      </w:r>
      <w:r w:rsidR="00BF3278">
        <w:t>,</w:t>
      </w:r>
      <w:r>
        <w:t xml:space="preserve"> wynikając</w:t>
      </w:r>
      <w:r w:rsidR="00BF3278">
        <w:t>ych</w:t>
      </w:r>
      <w:r>
        <w:t xml:space="preserve"> z d</w:t>
      </w:r>
      <w:r w:rsidRPr="00475432">
        <w:t>ługotrwał</w:t>
      </w:r>
      <w:r>
        <w:t>ych</w:t>
      </w:r>
      <w:r w:rsidRPr="00475432">
        <w:t xml:space="preserve"> odchyle</w:t>
      </w:r>
      <w:r>
        <w:t>ń</w:t>
      </w:r>
      <w:r w:rsidRPr="00475432">
        <w:t xml:space="preserve"> cen aktywów od ich średnich wartości lub historycznych relacji</w:t>
      </w:r>
      <w:r>
        <w:t>. W praktyce zdarza się</w:t>
      </w:r>
      <w:r w:rsidR="003C57C5">
        <w:t>, że</w:t>
      </w:r>
      <w:r>
        <w:t xml:space="preserve"> </w:t>
      </w:r>
      <w:r w:rsidR="006A6A09">
        <w:t xml:space="preserve">relatywne </w:t>
      </w:r>
      <w:r>
        <w:t xml:space="preserve">ceny aktywów mogą nie </w:t>
      </w:r>
      <w:r w:rsidR="006A6A09">
        <w:t>powracać do</w:t>
      </w:r>
      <w:r>
        <w:t xml:space="preserve"> swoich średnich historycznych</w:t>
      </w:r>
      <w:r w:rsidR="003D65EB">
        <w:t>.</w:t>
      </w:r>
      <w:r>
        <w:t xml:space="preserve"> </w:t>
      </w:r>
      <w:r w:rsidR="006432D3">
        <w:t xml:space="preserve">Przez </w:t>
      </w:r>
      <w:r w:rsidR="003D65EB">
        <w:t>t</w:t>
      </w:r>
      <w:r w:rsidR="006432D3">
        <w:t>o i</w:t>
      </w:r>
      <w:r w:rsidR="006432D3" w:rsidRPr="006432D3">
        <w:t>nwestorzy mogą ponosić straty, ponieważ pozycje długie i krótkie pozostają otwarte w oczekiwaniu na ko</w:t>
      </w:r>
      <w:r w:rsidR="00AC2F4B">
        <w:t>rektę</w:t>
      </w:r>
      <w:r w:rsidR="006432D3" w:rsidRPr="006432D3">
        <w:t>, która nie następuje lub następuje z dużym opóźnieniem.</w:t>
      </w:r>
    </w:p>
    <w:p w14:paraId="55A8C0BD" w14:textId="02E7E43B" w:rsidR="004B0F61" w:rsidRDefault="009A01A4" w:rsidP="00C32275">
      <w:pPr>
        <w:pStyle w:val="Heading3"/>
      </w:pPr>
      <w:bookmarkStart w:id="5" w:name="_Toc203251927"/>
      <w:r>
        <w:lastRenderedPageBreak/>
        <w:t>Strategie momentum</w:t>
      </w:r>
      <w:bookmarkEnd w:id="5"/>
      <w:r w:rsidR="001F7066">
        <w:t>.</w:t>
      </w:r>
    </w:p>
    <w:p w14:paraId="12AA5E09" w14:textId="510CCE35" w:rsidR="00B07041" w:rsidRDefault="009A01A4" w:rsidP="009A01A4">
      <w:pPr>
        <w:pStyle w:val="Pierwszyakapit"/>
      </w:pPr>
      <w:r w:rsidRPr="009A01A4">
        <w:t>Strategia momentum opiera się na przekonaniu, że aktywa, które w ostatnim czasie osiągały dobre wyniki cenowe, będą kontynuowały ten trend w krótkim lub średnim terminie</w:t>
      </w:r>
      <w:r w:rsidR="002A2D41">
        <w:t xml:space="preserve"> (Sekuła, </w:t>
      </w:r>
      <w:r w:rsidR="00B07041">
        <w:t>2016</w:t>
      </w:r>
      <w:r w:rsidR="00256F09">
        <w:t>, s. 289-298</w:t>
      </w:r>
      <w:r w:rsidR="00B07041">
        <w:t>)</w:t>
      </w:r>
      <w:r w:rsidRPr="009A01A4">
        <w:t>. W praktyce oznacza to kupowanie aktywów o rosnących cenach i sprzedawanie tych, których ceny spadają. Momentum wykorzystuje siłę trendu jako główny sygnał inwestycyjny, a decyzje</w:t>
      </w:r>
      <w:r w:rsidR="00A93EB6">
        <w:t xml:space="preserve"> mogą być</w:t>
      </w:r>
      <w:r w:rsidRPr="009A01A4">
        <w:t xml:space="preserve"> podejmowane</w:t>
      </w:r>
      <w:r w:rsidR="00A93EB6">
        <w:t xml:space="preserve"> pośrednio lub bezpośrednio</w:t>
      </w:r>
      <w:r w:rsidRPr="009A01A4">
        <w:t xml:space="preserve">  na podstawie wskaźników technicznych takich jak</w:t>
      </w:r>
      <w:r w:rsidR="00B07041">
        <w:t xml:space="preserve"> :</w:t>
      </w:r>
      <w:r w:rsidRPr="009A01A4">
        <w:t xml:space="preserve"> </w:t>
      </w:r>
    </w:p>
    <w:p w14:paraId="22D3B2CE" w14:textId="359F22F2" w:rsidR="00B07041" w:rsidRDefault="009A01A4" w:rsidP="00B07041">
      <w:pPr>
        <w:pStyle w:val="Pierwszyakapit"/>
        <w:numPr>
          <w:ilvl w:val="0"/>
          <w:numId w:val="18"/>
        </w:numPr>
      </w:pPr>
      <w:r w:rsidRPr="009A01A4">
        <w:t>RSI</w:t>
      </w:r>
      <w:r w:rsidR="002A2D41">
        <w:t xml:space="preserve"> (Relative Streng</w:t>
      </w:r>
      <w:r w:rsidR="007C1DCE">
        <w:t>th</w:t>
      </w:r>
      <w:r w:rsidR="002A2D41">
        <w:t xml:space="preserve"> Indicator)</w:t>
      </w:r>
      <w:r w:rsidR="00B07041">
        <w:t xml:space="preserve"> - </w:t>
      </w:r>
      <w:r w:rsidR="00B07041" w:rsidRPr="00B07041">
        <w:t>pokazuje, czy aktywo jest wykupione lub wyprzedane</w:t>
      </w:r>
      <w:r w:rsidRPr="009A01A4">
        <w:t>,</w:t>
      </w:r>
    </w:p>
    <w:p w14:paraId="63BA1D44" w14:textId="2C1D2550" w:rsidR="00B07041" w:rsidRPr="00B07041" w:rsidRDefault="00B07041" w:rsidP="00B07041">
      <w:pPr>
        <w:pStyle w:val="Pierwszyakapit"/>
        <w:numPr>
          <w:ilvl w:val="0"/>
          <w:numId w:val="18"/>
        </w:numPr>
      </w:pPr>
      <w:r>
        <w:t xml:space="preserve">MA (Moving Average) </w:t>
      </w:r>
      <w:r w:rsidR="003C57C5">
        <w:t>–</w:t>
      </w:r>
      <w:r>
        <w:t xml:space="preserve"> </w:t>
      </w:r>
      <w:r w:rsidR="003C57C5">
        <w:t>wskaźnik średniej ruchomej</w:t>
      </w:r>
      <w:r>
        <w:t>,</w:t>
      </w:r>
      <w:r w:rsidR="003C57C5">
        <w:t xml:space="preserve"> pomagający określić w jakim trendzie może znajdywać się cena aktywa,</w:t>
      </w:r>
      <w:r w:rsidR="009A01A4" w:rsidRPr="009A01A4">
        <w:t xml:space="preserve"> </w:t>
      </w:r>
    </w:p>
    <w:p w14:paraId="3B4BEEA5" w14:textId="4FA35A61" w:rsidR="00B07041" w:rsidRPr="00B718D5" w:rsidRDefault="009A01A4" w:rsidP="00B07041">
      <w:pPr>
        <w:pStyle w:val="Pierwszyakapit"/>
        <w:numPr>
          <w:ilvl w:val="0"/>
          <w:numId w:val="18"/>
        </w:numPr>
        <w:rPr>
          <w:lang w:val="en-US"/>
        </w:rPr>
      </w:pPr>
      <w:r w:rsidRPr="00B718D5">
        <w:rPr>
          <w:lang w:val="en-US"/>
        </w:rPr>
        <w:t>MACD</w:t>
      </w:r>
      <w:r w:rsidR="002A2D41" w:rsidRPr="00B718D5">
        <w:rPr>
          <w:lang w:val="en-US"/>
        </w:rPr>
        <w:t xml:space="preserve"> (Moving Average Convergence Divergence)</w:t>
      </w:r>
      <w:r w:rsidR="00B07041" w:rsidRPr="00B718D5">
        <w:rPr>
          <w:lang w:val="en-US"/>
        </w:rPr>
        <w:t xml:space="preserve"> - wskazuje momenty zmiany trendu,</w:t>
      </w:r>
    </w:p>
    <w:p w14:paraId="5A1689AF" w14:textId="2BA1B48D" w:rsidR="00B07041" w:rsidRDefault="00B07041" w:rsidP="00B07041">
      <w:pPr>
        <w:pStyle w:val="Pierwszyakapit"/>
        <w:numPr>
          <w:ilvl w:val="0"/>
          <w:numId w:val="18"/>
        </w:numPr>
      </w:pPr>
      <w:r>
        <w:t>MTM (Mome</w:t>
      </w:r>
      <w:r w:rsidR="00EA630D">
        <w:t>n</w:t>
      </w:r>
      <w:r>
        <w:t xml:space="preserve">tum) </w:t>
      </w:r>
      <w:r w:rsidR="00A93EB6">
        <w:t>–</w:t>
      </w:r>
      <w:r>
        <w:t xml:space="preserve"> </w:t>
      </w:r>
      <w:r w:rsidR="00A93EB6">
        <w:t>pomiar siły i kierunku trendu.</w:t>
      </w:r>
    </w:p>
    <w:p w14:paraId="59BDB408" w14:textId="2F22835E" w:rsidR="00B07041" w:rsidRDefault="009A01A4" w:rsidP="00B07041">
      <w:pPr>
        <w:pStyle w:val="Pierwszyakapit"/>
      </w:pPr>
      <w:r>
        <w:t xml:space="preserve"> </w:t>
      </w:r>
    </w:p>
    <w:p w14:paraId="0B1B3E02" w14:textId="3E706E4D" w:rsidR="009A01A4" w:rsidRDefault="00B07041" w:rsidP="00B718D5">
      <w:pPr>
        <w:ind w:firstLine="0"/>
      </w:pPr>
      <w:r>
        <w:t>Mome</w:t>
      </w:r>
      <w:r w:rsidR="00DD1D05">
        <w:t>n</w:t>
      </w:r>
      <w:r>
        <w:t xml:space="preserve">tum </w:t>
      </w:r>
      <w:r w:rsidR="009412EA">
        <w:t xml:space="preserve">jest </w:t>
      </w:r>
      <w:r>
        <w:t>zatem efektywną strategią w momentach</w:t>
      </w:r>
      <w:r w:rsidR="001401C3">
        <w:t>,</w:t>
      </w:r>
      <w:r>
        <w:t xml:space="preserve"> gdy </w:t>
      </w:r>
      <w:r w:rsidRPr="00B07041">
        <w:t>rynki wykazują wyraźne trendy, a krótkoterminowe odchylenia cenowe utrzymują się wystarczająco długo, by je wykorzystać.</w:t>
      </w:r>
    </w:p>
    <w:p w14:paraId="0BB44E4E" w14:textId="39870BB8" w:rsidR="00DF24A0" w:rsidRDefault="00B07041" w:rsidP="00B718D5">
      <w:r>
        <w:t>Kluczowy</w:t>
      </w:r>
      <w:r w:rsidR="00DD1F2F">
        <w:t>m</w:t>
      </w:r>
      <w:r>
        <w:t xml:space="preserve"> elementem strategii jest zarządzanie ryzykiem poprzez stosowanie takich</w:t>
      </w:r>
      <w:r w:rsidR="00DD1F2F">
        <w:t xml:space="preserve"> mechanizmów</w:t>
      </w:r>
      <w:r>
        <w:t xml:space="preserve"> jak stop</w:t>
      </w:r>
      <w:r w:rsidR="00DD1F2F">
        <w:t>-</w:t>
      </w:r>
      <w:r>
        <w:t>loss</w:t>
      </w:r>
      <w:r w:rsidR="00DD1F2F">
        <w:t>,</w:t>
      </w:r>
      <w:r>
        <w:t xml:space="preserve"> </w:t>
      </w:r>
      <w:r w:rsidR="00CA400D">
        <w:t xml:space="preserve">polegających na </w:t>
      </w:r>
      <w:r w:rsidR="00DD1F2F">
        <w:t>zamknięci</w:t>
      </w:r>
      <w:r w:rsidR="00CA400D">
        <w:t>u</w:t>
      </w:r>
      <w:r w:rsidR="00DD1F2F">
        <w:t xml:space="preserve"> pozycji w momencie gdy cena porusza się w niekorzystnym kierunku przez bardzo długi czas. Konieczn</w:t>
      </w:r>
      <w:r w:rsidR="003C57C5">
        <w:t>e</w:t>
      </w:r>
      <w:r w:rsidR="00DD1F2F">
        <w:t xml:space="preserve"> jest również stał</w:t>
      </w:r>
      <w:r w:rsidR="003C57C5">
        <w:t>e</w:t>
      </w:r>
      <w:r w:rsidR="00DD1F2F">
        <w:t xml:space="preserve"> regulowanie wielkości pozycji w celu ograniczenia nadmiernych strat oraz stałe monitorowanie i rebalansowanie portfela. Dzięki tym mechanizmom inwestor może zminimalizować ryzyko gwałtowanych strat w przypadku odwrócenia trendu.</w:t>
      </w:r>
    </w:p>
    <w:p w14:paraId="3D184C0A" w14:textId="7DADA4A1" w:rsidR="00326DF2" w:rsidRDefault="003C57C5" w:rsidP="00326DF2">
      <w:r>
        <w:t>Podejście</w:t>
      </w:r>
      <w:r w:rsidR="00DD1D05">
        <w:t xml:space="preserve"> momentum opiera się również na aspektach psychologicznych</w:t>
      </w:r>
      <w:r w:rsidR="00120E49">
        <w:t>. Głównym założeniem jest, że l</w:t>
      </w:r>
      <w:r w:rsidR="005A7B6B">
        <w:t xml:space="preserve">udzie częściej wierzą w kontynuację trendu i ulegają efektowi passy, </w:t>
      </w:r>
      <w:r>
        <w:t>zamiast grać</w:t>
      </w:r>
      <w:r w:rsidR="005A7B6B">
        <w:t xml:space="preserve"> przeciwko rynkom i stawiać na odwrót trendu, nawet jeżeli są ku temu fundamentalne przesłanki (Markiewicz i Kubińska,  2014</w:t>
      </w:r>
      <w:r w:rsidR="00256F09">
        <w:t>,s. 41-45</w:t>
      </w:r>
      <w:r w:rsidR="005A7B6B">
        <w:t xml:space="preserve">). Zachowanie </w:t>
      </w:r>
      <w:r w:rsidR="00120E49">
        <w:t>to jest</w:t>
      </w:r>
      <w:r w:rsidR="005A7B6B">
        <w:t xml:space="preserve"> rezultatem takich zjawisk jak efekt stada</w:t>
      </w:r>
      <w:r w:rsidR="00DF24A0">
        <w:t xml:space="preserve">, w którym </w:t>
      </w:r>
      <w:r w:rsidR="005A7B6B">
        <w:t>inwestorzy podążają za tłumem</w:t>
      </w:r>
      <w:r w:rsidR="002F7FFE">
        <w:t>,</w:t>
      </w:r>
      <w:r w:rsidR="005A7B6B">
        <w:t xml:space="preserve"> jak i ef</w:t>
      </w:r>
      <w:r w:rsidR="00EA630D">
        <w:t>ekt</w:t>
      </w:r>
      <w:r w:rsidR="005A7B6B">
        <w:t xml:space="preserve"> FOMO </w:t>
      </w:r>
      <w:r w:rsidR="005A7B6B">
        <w:lastRenderedPageBreak/>
        <w:t>(Fear of missing out)</w:t>
      </w:r>
      <w:r w:rsidR="00EA630D">
        <w:t xml:space="preserve">, czyli strach przed nie załapaniem się na okazję. </w:t>
      </w:r>
      <w:r w:rsidR="00120E49">
        <w:t>Zjawiska te wyjaśniają powstawanie baniek spekulacyjnych.</w:t>
      </w:r>
    </w:p>
    <w:p w14:paraId="39960FFC" w14:textId="71062E50" w:rsidR="00326DF2" w:rsidRDefault="00270C22" w:rsidP="00326DF2">
      <w:r>
        <w:t>Pomimo że strategia momentum wywodzi się od analizy technicznej, to je</w:t>
      </w:r>
      <w:r w:rsidR="00B456A8">
        <w:t xml:space="preserve">j wskaźniki są również wykorzystywane przy arbitrażu statystycznym jako uzupełnienie </w:t>
      </w:r>
      <w:r w:rsidR="006F7183">
        <w:t xml:space="preserve">strategii </w:t>
      </w:r>
      <w:r w:rsidR="00B456A8">
        <w:t>mean</w:t>
      </w:r>
      <w:r w:rsidR="002F7FFE">
        <w:t>-</w:t>
      </w:r>
      <w:r w:rsidR="00B456A8">
        <w:t xml:space="preserve">reversion. Dzięki temu mogą powstawać modele, które umożliwiają </w:t>
      </w:r>
      <w:r w:rsidR="002F7FFE">
        <w:t>identyfikację</w:t>
      </w:r>
      <w:r w:rsidR="00B456A8">
        <w:t xml:space="preserve"> trendów jak i krótkoterminowych odchyleń cenowych. </w:t>
      </w:r>
      <w:r w:rsidR="00B456A8" w:rsidRPr="00B456A8">
        <w:t>Takie połączenie pozwala na</w:t>
      </w:r>
      <w:r w:rsidR="007C1DCE">
        <w:t xml:space="preserve"> weryfikację większego zakresu sygnałów</w:t>
      </w:r>
      <w:r w:rsidR="00B456A8" w:rsidRPr="00B456A8">
        <w:t xml:space="preserve"> i zmniejszenie ryzyka</w:t>
      </w:r>
      <w:r w:rsidR="00B456A8">
        <w:t>.</w:t>
      </w:r>
    </w:p>
    <w:p w14:paraId="47A2D32E" w14:textId="7D7084AD" w:rsidR="001F7066" w:rsidRDefault="001F7066" w:rsidP="001F7066">
      <w:r>
        <w:t>W ramach głębszego zrozumienia w jaki sposób funkcjonują strategię kategorii momentum lub mean</w:t>
      </w:r>
      <w:r w:rsidR="002F7FFE">
        <w:t>-</w:t>
      </w:r>
      <w:r>
        <w:t>reversion przedstawione zostaną ich przykładowe zastosowania w oparciu o konkretne wskaźniki oraz reguły decyzyjne przy zajmowaniu pozycji (Kakushadze, 2018</w:t>
      </w:r>
      <w:r w:rsidR="00256F09">
        <w:t>. s.40 - 65</w:t>
      </w:r>
      <w:r>
        <w:t>). Ważne jest zauważenie faktu</w:t>
      </w:r>
      <w:r w:rsidR="00256F09">
        <w:t>,</w:t>
      </w:r>
      <w:r>
        <w:t xml:space="preserve"> że decyzj</w:t>
      </w:r>
      <w:r w:rsidR="00256F09">
        <w:t>e</w:t>
      </w:r>
      <w:r>
        <w:t xml:space="preserve"> są tylko podejmowanie tylko w oparciu o te reguły, a nie na podstawie subiektywnej oceny inwestora. </w:t>
      </w:r>
    </w:p>
    <w:p w14:paraId="4B42401F" w14:textId="77777777" w:rsidR="001F7066" w:rsidRDefault="001F7066" w:rsidP="00326DF2"/>
    <w:p w14:paraId="5C22BC74" w14:textId="7940EC8A" w:rsidR="00B07041" w:rsidRDefault="001F7066" w:rsidP="007C1DCE">
      <w:pPr>
        <w:pStyle w:val="Heading3"/>
      </w:pPr>
      <w:r>
        <w:t xml:space="preserve">Strategia oparta o </w:t>
      </w:r>
      <w:r w:rsidR="002F7FFE">
        <w:t>wskaźnik m</w:t>
      </w:r>
      <w:r>
        <w:t>omentum</w:t>
      </w:r>
    </w:p>
    <w:p w14:paraId="5A86A7BE" w14:textId="77777777" w:rsidR="00F61F9B" w:rsidRDefault="00F61F9B" w:rsidP="00F61F9B"/>
    <w:p w14:paraId="25CE934B" w14:textId="6D4F83DE" w:rsidR="00A93EB6" w:rsidRDefault="00F61F9B" w:rsidP="00A93EB6">
      <w:r>
        <w:t>W przypadku strategii momentum kluczowe jest określenie wskaźników</w:t>
      </w:r>
      <w:r w:rsidR="00CD5A7E">
        <w:t>, które świadczą o</w:t>
      </w:r>
      <w:r w:rsidR="00A93EB6">
        <w:t xml:space="preserve"> pozytywnych lub negatywnych trendach cen aktywów.</w:t>
      </w:r>
      <w:r w:rsidR="009C483F">
        <w:t xml:space="preserve"> </w:t>
      </w:r>
      <w:r w:rsidR="009704E3">
        <w:t>Najprostszym</w:t>
      </w:r>
      <w:r w:rsidR="009C483F">
        <w:t xml:space="preserve"> rozwiązaniem jest opieranie się na zwrotach.</w:t>
      </w:r>
    </w:p>
    <w:p w14:paraId="310A9CD7" w14:textId="00F57B9E" w:rsidR="00F61F9B" w:rsidRDefault="00F61F9B" w:rsidP="00A93EB6">
      <w:pPr>
        <w:jc w:val="center"/>
      </w:pPr>
    </w:p>
    <w:p w14:paraId="0A0CB582" w14:textId="10F51652" w:rsidR="00434720" w:rsidRPr="00580FEC" w:rsidRDefault="00000000" w:rsidP="00580FEC">
      <w:pPr>
        <w:ind w:firstLine="2552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-1</m:t>
                </m:r>
              </m:e>
            </m:d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)</m:t>
        </m:r>
      </m:oMath>
      <w:r w:rsidR="00580FEC" w:rsidRPr="00580FEC">
        <w:rPr>
          <w:rFonts w:eastAsiaTheme="minorEastAsia"/>
        </w:rPr>
        <w:tab/>
      </w:r>
      <w:r w:rsidR="00580FEC" w:rsidRPr="00580FEC">
        <w:rPr>
          <w:rFonts w:eastAsiaTheme="minorEastAsia"/>
        </w:rPr>
        <w:tab/>
      </w:r>
      <w:r w:rsidR="00580FEC" w:rsidRPr="00580FEC">
        <w:rPr>
          <w:rFonts w:eastAsiaTheme="minorEastAsia"/>
        </w:rPr>
        <w:tab/>
        <w:t>(</w:t>
      </w:r>
      <w:r w:rsidR="00580FEC">
        <w:rPr>
          <w:rFonts w:eastAsiaTheme="minorEastAsia"/>
          <w:lang w:val="en-US"/>
        </w:rPr>
        <w:fldChar w:fldCharType="begin"/>
      </w:r>
      <w:r w:rsidR="00580FEC" w:rsidRPr="00580FEC">
        <w:rPr>
          <w:rFonts w:eastAsiaTheme="minorEastAsia"/>
        </w:rPr>
        <w:instrText xml:space="preserve"> Seq Równanie </w:instrText>
      </w:r>
      <w:r w:rsidR="00580FEC">
        <w:rPr>
          <w:rFonts w:eastAsiaTheme="minorEastAsia"/>
          <w:lang w:val="en-US"/>
        </w:rPr>
        <w:fldChar w:fldCharType="separate"/>
      </w:r>
      <w:r w:rsidR="00580FEC" w:rsidRPr="00580FEC">
        <w:rPr>
          <w:rFonts w:eastAsiaTheme="minorEastAsia"/>
          <w:noProof/>
        </w:rPr>
        <w:t>1</w:t>
      </w:r>
      <w:r w:rsidR="00580FEC">
        <w:rPr>
          <w:rFonts w:eastAsiaTheme="minorEastAsia"/>
          <w:lang w:val="en-US"/>
        </w:rPr>
        <w:fldChar w:fldCharType="end"/>
      </w:r>
      <w:r w:rsidR="00580FEC" w:rsidRPr="00580FEC">
        <w:rPr>
          <w:rFonts w:eastAsiaTheme="minorEastAsia"/>
        </w:rPr>
        <w:t>)</w:t>
      </w:r>
    </w:p>
    <w:p w14:paraId="35E3BD27" w14:textId="34F94CDB" w:rsidR="009A01A4" w:rsidRPr="00580FEC" w:rsidRDefault="00000000" w:rsidP="00580FEC">
      <w:pPr>
        <w:ind w:firstLine="2552"/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  <m:r>
          <w:rPr>
            <w:rFonts w:ascii="Cambria Math" w:hAnsi="Cambria Math"/>
          </w:rPr>
          <m:t xml:space="preserve">(t,S)=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t-S</m:t>
                </m:r>
              </m:e>
            </m:d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="00580FEC">
        <w:rPr>
          <w:rFonts w:eastAsiaTheme="minorEastAsia"/>
        </w:rPr>
        <w:tab/>
      </w:r>
      <w:r w:rsidR="00580FEC">
        <w:rPr>
          <w:rFonts w:eastAsiaTheme="minorEastAsia"/>
        </w:rPr>
        <w:tab/>
        <w:t>(</w:t>
      </w:r>
      <w:r w:rsidR="00580FEC">
        <w:rPr>
          <w:rFonts w:eastAsiaTheme="minorEastAsia"/>
        </w:rPr>
        <w:fldChar w:fldCharType="begin"/>
      </w:r>
      <w:r w:rsidR="00580FEC">
        <w:rPr>
          <w:rFonts w:eastAsiaTheme="minorEastAsia"/>
        </w:rPr>
        <w:instrText xml:space="preserve"> Seq Równanie </w:instrText>
      </w:r>
      <w:r w:rsidR="00580FEC">
        <w:rPr>
          <w:rFonts w:eastAsiaTheme="minorEastAsia"/>
        </w:rPr>
        <w:fldChar w:fldCharType="separate"/>
      </w:r>
      <w:r w:rsidR="00580FEC">
        <w:rPr>
          <w:rFonts w:eastAsiaTheme="minorEastAsia"/>
          <w:noProof/>
        </w:rPr>
        <w:t>2</w:t>
      </w:r>
      <w:r w:rsidR="00580FEC">
        <w:rPr>
          <w:rFonts w:eastAsiaTheme="minorEastAsia"/>
        </w:rPr>
        <w:fldChar w:fldCharType="end"/>
      </w:r>
      <w:r w:rsidR="00580FEC">
        <w:rPr>
          <w:rFonts w:eastAsiaTheme="minorEastAsia"/>
        </w:rPr>
        <w:t>)</w:t>
      </w:r>
    </w:p>
    <w:p w14:paraId="2AD04218" w14:textId="1165E76F" w:rsidR="009A01A4" w:rsidRPr="009A01A4" w:rsidRDefault="00000000" w:rsidP="00580FEC">
      <w:pPr>
        <w:ind w:firstLine="2552"/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mean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t=1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(t)</m:t>
            </m:r>
          </m:e>
        </m:nary>
      </m:oMath>
      <w:r w:rsidR="00580FEC">
        <w:rPr>
          <w:rFonts w:eastAsiaTheme="minorEastAsia"/>
        </w:rPr>
        <w:tab/>
      </w:r>
      <w:r w:rsidR="00580FEC">
        <w:rPr>
          <w:rFonts w:eastAsiaTheme="minorEastAsia"/>
        </w:rPr>
        <w:tab/>
      </w:r>
      <w:r w:rsidR="00580FEC">
        <w:rPr>
          <w:rFonts w:eastAsiaTheme="minorEastAsia"/>
        </w:rPr>
        <w:tab/>
        <w:t>(</w:t>
      </w:r>
      <w:r w:rsidR="00A468E2">
        <w:rPr>
          <w:rFonts w:eastAsiaTheme="minorEastAsia"/>
        </w:rPr>
        <w:fldChar w:fldCharType="begin"/>
      </w:r>
      <w:r w:rsidR="00A468E2">
        <w:rPr>
          <w:rFonts w:eastAsiaTheme="minorEastAsia"/>
        </w:rPr>
        <w:instrText xml:space="preserve"> Seq Równanie </w:instrText>
      </w:r>
      <w:r w:rsidR="00A468E2">
        <w:rPr>
          <w:rFonts w:eastAsiaTheme="minorEastAsia"/>
        </w:rPr>
        <w:fldChar w:fldCharType="separate"/>
      </w:r>
      <w:r w:rsidR="00A468E2">
        <w:rPr>
          <w:rFonts w:eastAsiaTheme="minorEastAsia"/>
          <w:noProof/>
        </w:rPr>
        <w:t>3</w:t>
      </w:r>
      <w:r w:rsidR="00A468E2">
        <w:rPr>
          <w:rFonts w:eastAsiaTheme="minorEastAsia"/>
        </w:rPr>
        <w:fldChar w:fldCharType="end"/>
      </w:r>
      <w:r w:rsidR="00580FEC">
        <w:rPr>
          <w:rFonts w:eastAsiaTheme="minorEastAsia"/>
        </w:rPr>
        <w:t>)</w:t>
      </w:r>
    </w:p>
    <w:p w14:paraId="21B0BB14" w14:textId="49FFD20D" w:rsidR="00760A33" w:rsidRPr="00791B3F" w:rsidRDefault="00000000" w:rsidP="00791B3F">
      <w:pPr>
        <w:ind w:left="280" w:firstLine="2272"/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risk.adj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mean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="00791B3F">
        <w:rPr>
          <w:rFonts w:eastAsiaTheme="minorEastAsia"/>
        </w:rPr>
        <w:tab/>
      </w:r>
      <w:r w:rsidR="00791B3F">
        <w:rPr>
          <w:rFonts w:eastAsiaTheme="minorEastAsia"/>
        </w:rPr>
        <w:tab/>
      </w:r>
      <w:r w:rsidR="00791B3F">
        <w:rPr>
          <w:rFonts w:eastAsiaTheme="minorEastAsia"/>
        </w:rPr>
        <w:tab/>
        <w:t>(</w:t>
      </w:r>
      <w:r w:rsidR="00791B3F">
        <w:rPr>
          <w:rFonts w:eastAsiaTheme="minorEastAsia"/>
        </w:rPr>
        <w:fldChar w:fldCharType="begin"/>
      </w:r>
      <w:r w:rsidR="00791B3F">
        <w:rPr>
          <w:rFonts w:eastAsiaTheme="minorEastAsia"/>
        </w:rPr>
        <w:instrText xml:space="preserve"> Seq Równanie </w:instrText>
      </w:r>
      <w:r w:rsidR="00791B3F">
        <w:rPr>
          <w:rFonts w:eastAsiaTheme="minorEastAsia"/>
        </w:rPr>
        <w:fldChar w:fldCharType="separate"/>
      </w:r>
      <w:r w:rsidR="00791B3F">
        <w:rPr>
          <w:rFonts w:eastAsiaTheme="minorEastAsia"/>
          <w:noProof/>
        </w:rPr>
        <w:t>4</w:t>
      </w:r>
      <w:r w:rsidR="00791B3F">
        <w:rPr>
          <w:rFonts w:eastAsiaTheme="minorEastAsia"/>
        </w:rPr>
        <w:fldChar w:fldCharType="end"/>
      </w:r>
      <w:r w:rsidR="00791B3F">
        <w:rPr>
          <w:rFonts w:eastAsiaTheme="minorEastAsia"/>
        </w:rPr>
        <w:t>)</w:t>
      </w:r>
    </w:p>
    <w:p w14:paraId="372E4AAC" w14:textId="3AF38F8E" w:rsidR="009A01A4" w:rsidRPr="00791B3F" w:rsidRDefault="00000000" w:rsidP="00791B3F">
      <w:pPr>
        <w:tabs>
          <w:tab w:val="left" w:pos="6096"/>
        </w:tabs>
        <w:spacing w:after="160" w:line="259" w:lineRule="auto"/>
        <w:ind w:left="560" w:firstLine="1708"/>
        <w:jc w:val="left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T-1</m:t>
            </m:r>
          </m:den>
        </m:f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t=1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-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mean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791B3F">
        <w:rPr>
          <w:rFonts w:eastAsiaTheme="minorEastAsia"/>
        </w:rPr>
        <w:t xml:space="preserve">                   (</w:t>
      </w:r>
      <w:r w:rsidR="00791B3F">
        <w:rPr>
          <w:rFonts w:eastAsiaTheme="minorEastAsia"/>
        </w:rPr>
        <w:fldChar w:fldCharType="begin"/>
      </w:r>
      <w:r w:rsidR="00791B3F">
        <w:rPr>
          <w:rFonts w:eastAsiaTheme="minorEastAsia"/>
        </w:rPr>
        <w:instrText xml:space="preserve"> Seq Równanie </w:instrText>
      </w:r>
      <w:r w:rsidR="00791B3F">
        <w:rPr>
          <w:rFonts w:eastAsiaTheme="minorEastAsia"/>
        </w:rPr>
        <w:fldChar w:fldCharType="separate"/>
      </w:r>
      <w:r w:rsidR="00791B3F">
        <w:rPr>
          <w:rFonts w:eastAsiaTheme="minorEastAsia"/>
          <w:noProof/>
        </w:rPr>
        <w:t>5</w:t>
      </w:r>
      <w:r w:rsidR="00791B3F">
        <w:rPr>
          <w:rFonts w:eastAsiaTheme="minorEastAsia"/>
        </w:rPr>
        <w:fldChar w:fldCharType="end"/>
      </w:r>
      <w:r w:rsidR="00791B3F">
        <w:rPr>
          <w:rFonts w:eastAsiaTheme="minorEastAsia"/>
        </w:rPr>
        <w:t>)</w:t>
      </w:r>
    </w:p>
    <w:p w14:paraId="78EF373F" w14:textId="5A37A6E6" w:rsidR="009C483F" w:rsidRDefault="00DB3BF1">
      <w:pPr>
        <w:spacing w:after="160" w:line="259" w:lineRule="auto"/>
        <w:ind w:firstLine="0"/>
        <w:jc w:val="left"/>
        <w:rPr>
          <w:rFonts w:eastAsiaTheme="minorEastAsia"/>
        </w:rPr>
      </w:pPr>
      <w:commentRangeStart w:id="6"/>
      <w:r>
        <w:rPr>
          <w:rFonts w:eastAsiaTheme="minorEastAsia"/>
        </w:rPr>
        <w:t>g</w:t>
      </w:r>
      <w:r w:rsidR="009C483F">
        <w:rPr>
          <w:rFonts w:eastAsiaTheme="minorEastAsia"/>
        </w:rPr>
        <w:t>dzie:</w:t>
      </w:r>
      <w:commentRangeEnd w:id="6"/>
      <w:r w:rsidR="00D44844">
        <w:rPr>
          <w:rStyle w:val="CommentReference"/>
        </w:rPr>
        <w:commentReference w:id="6"/>
      </w:r>
    </w:p>
    <w:p w14:paraId="035FAC59" w14:textId="240AAD42" w:rsidR="009C483F" w:rsidRDefault="00000000" w:rsidP="009C483F">
      <w:pPr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9C483F">
        <w:t xml:space="preserve"> – zwrot na aktywie </w:t>
      </w:r>
      <w:r w:rsidR="00DB3BF1">
        <w:t>w okresie</w:t>
      </w:r>
      <w:r w:rsidR="009C483F">
        <w:t xml:space="preserve"> </w:t>
      </w:r>
      <w:r w:rsidR="00A85C7D" w:rsidRPr="00B718D5">
        <w:rPr>
          <w:i/>
          <w:iCs/>
        </w:rPr>
        <w:t>t</w:t>
      </w:r>
    </w:p>
    <w:p w14:paraId="7B09D879" w14:textId="71C76B3E" w:rsidR="00120E49" w:rsidRDefault="00000000" w:rsidP="009C483F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</m:oMath>
      <w:r w:rsidR="009C483F">
        <w:rPr>
          <w:rFonts w:eastAsiaTheme="minorEastAsia"/>
        </w:rPr>
        <w:t xml:space="preserve"> – skumulowane zwroty okresie formacyjnym</w:t>
      </w:r>
    </w:p>
    <w:p w14:paraId="69CC3E39" w14:textId="383E1809" w:rsidR="009C483F" w:rsidRDefault="00000000" w:rsidP="009C483F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mean</m:t>
            </m:r>
          </m:sup>
        </m:sSubSup>
      </m:oMath>
      <w:r w:rsidR="00120E49">
        <w:rPr>
          <w:rFonts w:eastAsiaTheme="minorEastAsia"/>
        </w:rPr>
        <w:t xml:space="preserve"> - średnie zwroty w  okresie formacyjnym</w:t>
      </w:r>
    </w:p>
    <w:p w14:paraId="56FAF669" w14:textId="18A33187" w:rsidR="00120E49" w:rsidRDefault="00000000" w:rsidP="009C483F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risk.adj</m:t>
            </m:r>
          </m:sup>
        </m:sSubSup>
      </m:oMath>
      <w:r w:rsidR="00120E49">
        <w:rPr>
          <w:rFonts w:eastAsiaTheme="minorEastAsia"/>
        </w:rPr>
        <w:t xml:space="preserve"> – średnie zwroty skorygowane o ryzyko</w:t>
      </w:r>
    </w:p>
    <w:p w14:paraId="1F86113A" w14:textId="74315863" w:rsidR="00C50472" w:rsidRPr="00C50472" w:rsidRDefault="00000000" w:rsidP="009C483F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C50472">
        <w:rPr>
          <w:rFonts w:eastAsiaTheme="minorEastAsia"/>
        </w:rPr>
        <w:t xml:space="preserve"> – odchylenie standardowe</w:t>
      </w:r>
    </w:p>
    <w:p w14:paraId="3C19A1D7" w14:textId="77777777" w:rsidR="00120E49" w:rsidRDefault="00120E49" w:rsidP="009C483F">
      <w:pPr>
        <w:ind w:firstLine="0"/>
        <w:rPr>
          <w:rFonts w:eastAsiaTheme="minorEastAsia"/>
        </w:rPr>
      </w:pPr>
    </w:p>
    <w:p w14:paraId="23F6C8EE" w14:textId="6D046AB7" w:rsidR="00C50472" w:rsidRDefault="00A85C7D" w:rsidP="00A85C7D">
      <w:r>
        <w:t>Na początku</w:t>
      </w:r>
      <w:r w:rsidR="007C4772">
        <w:t>,</w:t>
      </w:r>
      <w:r>
        <w:t xml:space="preserve"> zależnie od tradera wybierany</w:t>
      </w:r>
      <w:r w:rsidR="00C50472">
        <w:t xml:space="preserve"> jest</w:t>
      </w:r>
      <w:r>
        <w:t xml:space="preserve"> okres formacyjny. </w:t>
      </w:r>
      <w:r w:rsidR="00A752A5">
        <w:t>Z</w:t>
      </w:r>
      <w:r>
        <w:t>bierane są</w:t>
      </w:r>
      <w:r w:rsidR="00A752A5">
        <w:t xml:space="preserve"> </w:t>
      </w:r>
      <w:r w:rsidR="00C50472">
        <w:t xml:space="preserve">zwroty. Mogą być one skumulowne, średnie lub skorygowane o ryzyko, które w tym kontekście można </w:t>
      </w:r>
      <w:r w:rsidR="00474130">
        <w:t>traktować</w:t>
      </w:r>
      <w:r w:rsidR="002F7FFE">
        <w:t xml:space="preserve"> jako</w:t>
      </w:r>
      <w:r w:rsidR="00C50472">
        <w:t xml:space="preserve"> wskaźnik</w:t>
      </w:r>
      <w:r w:rsidR="002F7FFE">
        <w:t>i</w:t>
      </w:r>
      <w:r w:rsidR="00C50472">
        <w:t xml:space="preserve"> </w:t>
      </w:r>
      <w:r w:rsidR="00791B3F">
        <w:t xml:space="preserve">Momentum. </w:t>
      </w:r>
      <w:r w:rsidR="00C50472">
        <w:t xml:space="preserve">Im wyższe wartości dodatnie lub ujemne tym większa szansa na powstanie </w:t>
      </w:r>
      <w:r w:rsidR="00474130">
        <w:t xml:space="preserve">krótko bądź średnioterminowych </w:t>
      </w:r>
      <w:r w:rsidR="00C50472">
        <w:t xml:space="preserve">trendów wzrostowych lub spadkowych. </w:t>
      </w:r>
      <w:r w:rsidR="00A752A5">
        <w:t xml:space="preserve">Ostatecznie zakładana jest pozycja długa na </w:t>
      </w:r>
      <w:r w:rsidR="00C50472">
        <w:t xml:space="preserve">aktywa o najwyższych zwrotach i krótka na aktyw o najniższych zwrotach. Zależnie od proporcji inwestowanego kapitału w pozycje krótkie lub długie można skonstruować portfel o ekspozycji długiej, </w:t>
      </w:r>
      <w:r w:rsidR="005A27B5">
        <w:t>neutralnej</w:t>
      </w:r>
      <w:r w:rsidR="00C50472">
        <w:t xml:space="preserve"> bądź krótkiej.</w:t>
      </w:r>
    </w:p>
    <w:p w14:paraId="54AD23CD" w14:textId="595D7762" w:rsidR="00C50472" w:rsidRDefault="001F7066" w:rsidP="001F7066">
      <w:pPr>
        <w:pStyle w:val="Heading3"/>
      </w:pPr>
      <w:r>
        <w:t>Strategia oparta o Moving Average.</w:t>
      </w:r>
    </w:p>
    <w:p w14:paraId="6397682A" w14:textId="662B29FA" w:rsidR="002F7FFE" w:rsidRDefault="00C50472" w:rsidP="00A85C7D">
      <w:r>
        <w:t xml:space="preserve">Kolejnym  </w:t>
      </w:r>
      <w:r w:rsidR="005A27B5">
        <w:t>przykładem będzie strategia oparta o wskaźniki Moving Average</w:t>
      </w:r>
      <w:r w:rsidR="007C53C4">
        <w:t>. Opiera się ona zasadniczo na stworzeniu 2 wskaźników średnich ruchomych</w:t>
      </w:r>
      <w:r w:rsidR="007753B3">
        <w:t xml:space="preserve"> MA</w:t>
      </w:r>
      <w:r w:rsidR="0032735B">
        <w:t xml:space="preserve"> na bazie arbitralnie dobranego okresu długiego i krótkiego</w:t>
      </w:r>
      <w:r w:rsidR="00606BF8">
        <w:t>,</w:t>
      </w:r>
      <w:r w:rsidR="004834E5">
        <w:t xml:space="preserve"> czyli odpowiednio MA(T) oraz MA(T’) gdzie T’ &lt;  T </w:t>
      </w:r>
      <w:r w:rsidR="007C53C4">
        <w:t xml:space="preserve">. </w:t>
      </w:r>
      <w:r w:rsidR="002825C5">
        <w:t>Poniżej</w:t>
      </w:r>
      <w:r w:rsidR="002F7FFE">
        <w:t xml:space="preserve"> pokazano</w:t>
      </w:r>
      <w:r w:rsidR="002825C5">
        <w:t xml:space="preserve"> 2 spośród wielu możliwych wariantów średniej kroczącej</w:t>
      </w:r>
    </w:p>
    <w:p w14:paraId="388DD8F5" w14:textId="36B47B59" w:rsidR="007753B3" w:rsidRDefault="002F7FFE" w:rsidP="002F7FFE">
      <w:pPr>
        <w:spacing w:after="160" w:line="259" w:lineRule="auto"/>
        <w:ind w:firstLine="0"/>
        <w:jc w:val="left"/>
      </w:pPr>
      <w:r>
        <w:br w:type="page"/>
      </w:r>
    </w:p>
    <w:p w14:paraId="1DB02BCD" w14:textId="7286FEAA" w:rsidR="007753B3" w:rsidRPr="00791B3F" w:rsidRDefault="007753B3" w:rsidP="00791B3F">
      <w:pPr>
        <w:ind w:firstLine="2552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SMA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t=1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P(t)</m:t>
            </m:r>
          </m:e>
        </m:nary>
      </m:oMath>
      <w:r w:rsidR="00791B3F">
        <w:rPr>
          <w:rFonts w:eastAsiaTheme="minorEastAsia"/>
        </w:rPr>
        <w:tab/>
      </w:r>
      <w:r w:rsidR="00791B3F">
        <w:rPr>
          <w:rFonts w:eastAsiaTheme="minorEastAsia"/>
        </w:rPr>
        <w:tab/>
      </w:r>
      <w:r w:rsidR="00791B3F">
        <w:rPr>
          <w:rFonts w:eastAsiaTheme="minorEastAsia"/>
        </w:rPr>
        <w:tab/>
      </w:r>
      <w:r w:rsidR="00791B3F">
        <w:rPr>
          <w:rFonts w:eastAsiaTheme="minorEastAsia"/>
        </w:rPr>
        <w:tab/>
        <w:t>(</w:t>
      </w:r>
      <w:r w:rsidR="00791B3F">
        <w:rPr>
          <w:rFonts w:eastAsiaTheme="minorEastAsia"/>
        </w:rPr>
        <w:fldChar w:fldCharType="begin"/>
      </w:r>
      <w:r w:rsidR="00791B3F">
        <w:rPr>
          <w:rFonts w:eastAsiaTheme="minorEastAsia"/>
        </w:rPr>
        <w:instrText xml:space="preserve"> Seq Równanie </w:instrText>
      </w:r>
      <w:r w:rsidR="00791B3F">
        <w:rPr>
          <w:rFonts w:eastAsiaTheme="minorEastAsia"/>
        </w:rPr>
        <w:fldChar w:fldCharType="separate"/>
      </w:r>
      <w:r w:rsidR="00791B3F">
        <w:rPr>
          <w:rFonts w:eastAsiaTheme="minorEastAsia"/>
          <w:noProof/>
        </w:rPr>
        <w:t>6</w:t>
      </w:r>
      <w:r w:rsidR="00791B3F">
        <w:rPr>
          <w:rFonts w:eastAsiaTheme="minorEastAsia"/>
        </w:rPr>
        <w:fldChar w:fldCharType="end"/>
      </w:r>
      <w:r w:rsidR="00791B3F">
        <w:rPr>
          <w:rFonts w:eastAsiaTheme="minorEastAsia"/>
        </w:rPr>
        <w:t>)</w:t>
      </w:r>
    </w:p>
    <w:p w14:paraId="7EE80196" w14:textId="219A6496" w:rsidR="007753B3" w:rsidRPr="007753B3" w:rsidRDefault="007753B3" w:rsidP="007753B3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w:commentRangeStart w:id="7"/>
        <m:r>
          <w:rPr>
            <w:rFonts w:ascii="Cambria Math" w:eastAsiaTheme="minorEastAsia" w:hAnsi="Cambria Math"/>
          </w:rPr>
          <m:t>MA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 λ</m:t>
            </m:r>
          </m:num>
          <m:den>
            <m:r>
              <w:rPr>
                <w:rFonts w:ascii="Cambria Math" w:eastAsiaTheme="minorEastAsia" w:hAnsi="Cambria Math"/>
              </w:rPr>
              <m:t xml:space="preserve">1-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s=0</m:t>
            </m:r>
          </m:sub>
          <m:sup>
            <m:r>
              <w:rPr>
                <w:rFonts w:ascii="Cambria Math" w:eastAsiaTheme="minorEastAsia" w:hAnsi="Cambria Math"/>
              </w:rPr>
              <m:t>T-1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s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T-s</m:t>
                </m:r>
              </m:e>
            </m:d>
          </m:e>
        </m:nary>
        <w:commentRangeEnd w:id="7"/>
        <m:r>
          <m:rPr>
            <m:sty m:val="p"/>
          </m:rPr>
          <w:rPr>
            <w:rStyle w:val="CommentReference"/>
          </w:rPr>
          <w:commentReference w:id="7"/>
        </m:r>
      </m:oMath>
      <w:r w:rsidR="00791B3F">
        <w:rPr>
          <w:rFonts w:eastAsiaTheme="minorEastAsia"/>
        </w:rPr>
        <w:tab/>
      </w:r>
      <w:r w:rsidR="00791B3F">
        <w:rPr>
          <w:rFonts w:eastAsiaTheme="minorEastAsia"/>
        </w:rPr>
        <w:tab/>
      </w:r>
      <w:r w:rsidR="00791B3F">
        <w:rPr>
          <w:rFonts w:eastAsiaTheme="minorEastAsia"/>
        </w:rPr>
        <w:tab/>
        <w:t>(</w:t>
      </w:r>
      <w:r w:rsidR="00791B3F">
        <w:rPr>
          <w:rFonts w:eastAsiaTheme="minorEastAsia"/>
        </w:rPr>
        <w:fldChar w:fldCharType="begin"/>
      </w:r>
      <w:r w:rsidR="00791B3F">
        <w:rPr>
          <w:rFonts w:eastAsiaTheme="minorEastAsia"/>
        </w:rPr>
        <w:instrText xml:space="preserve"> Seq Równanie </w:instrText>
      </w:r>
      <w:r w:rsidR="00791B3F">
        <w:rPr>
          <w:rFonts w:eastAsiaTheme="minorEastAsia"/>
        </w:rPr>
        <w:fldChar w:fldCharType="separate"/>
      </w:r>
      <w:r w:rsidR="00791B3F">
        <w:rPr>
          <w:rFonts w:eastAsiaTheme="minorEastAsia"/>
        </w:rPr>
        <w:fldChar w:fldCharType="end"/>
      </w:r>
      <w:r w:rsidR="00791B3F">
        <w:rPr>
          <w:rFonts w:eastAsiaTheme="minorEastAsia"/>
        </w:rPr>
        <w:t>)</w:t>
      </w:r>
    </w:p>
    <w:p w14:paraId="10DC16FD" w14:textId="28135671" w:rsidR="007753B3" w:rsidRDefault="007753B3" w:rsidP="007753B3">
      <w:pPr>
        <w:ind w:firstLine="0"/>
      </w:pPr>
      <w:r>
        <w:t>Gdzie:</w:t>
      </w:r>
    </w:p>
    <w:p w14:paraId="47D330B5" w14:textId="648C344D" w:rsidR="007753B3" w:rsidRPr="007753B3" w:rsidRDefault="007753B3" w:rsidP="007753B3">
      <w:pPr>
        <w:ind w:firstLine="0"/>
      </w:pPr>
      <w:commentRangeStart w:id="8"/>
      <m:oMath>
        <m:r>
          <w:rPr>
            <w:rFonts w:ascii="Cambria Math" w:hAnsi="Cambria Math"/>
          </w:rPr>
          <m:t>SMA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Prosta średnia krocząca (Simple Moving Average)</w:t>
      </w:r>
      <w:r w:rsidR="002825C5">
        <w:rPr>
          <w:rFonts w:eastAsiaTheme="minorEastAsia"/>
        </w:rPr>
        <w:t xml:space="preserve"> z T okresów</w:t>
      </w:r>
    </w:p>
    <w:p w14:paraId="51B5B4C7" w14:textId="2B199EA1" w:rsidR="007753B3" w:rsidRDefault="007753B3" w:rsidP="002825C5">
      <w:pPr>
        <w:ind w:firstLine="0"/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EMA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Wykładnicza średni</w:t>
      </w:r>
      <w:r w:rsidR="00FF75E9">
        <w:rPr>
          <w:rFonts w:eastAsiaTheme="minorEastAsia"/>
        </w:rPr>
        <w:t>a</w:t>
      </w:r>
      <w:r>
        <w:rPr>
          <w:rFonts w:eastAsiaTheme="minorEastAsia"/>
        </w:rPr>
        <w:t xml:space="preserve"> krocząca ( Exponential Moving Average)</w:t>
      </w:r>
      <w:r w:rsidR="002825C5">
        <w:rPr>
          <w:rFonts w:eastAsiaTheme="minorEastAsia"/>
        </w:rPr>
        <w:t xml:space="preserve"> z T okresów</w:t>
      </w:r>
      <w:commentRangeEnd w:id="8"/>
      <w:r w:rsidR="000C1108">
        <w:rPr>
          <w:rStyle w:val="CommentReference"/>
        </w:rPr>
        <w:commentReference w:id="8"/>
      </w:r>
    </w:p>
    <w:p w14:paraId="5D9E7EDF" w14:textId="77777777" w:rsidR="002825C5" w:rsidRPr="002825C5" w:rsidRDefault="002825C5" w:rsidP="002825C5">
      <w:pPr>
        <w:ind w:firstLine="0"/>
        <w:jc w:val="left"/>
        <w:rPr>
          <w:rFonts w:eastAsiaTheme="minorEastAsia"/>
        </w:rPr>
      </w:pPr>
    </w:p>
    <w:p w14:paraId="67D10D37" w14:textId="402FDBFE" w:rsidR="004834E5" w:rsidRDefault="007753B3" w:rsidP="004834E5">
      <w:pPr>
        <w:rPr>
          <w:rFonts w:cs="Times New Roman"/>
        </w:rPr>
      </w:pPr>
      <w:r>
        <w:t>Prosta średnia krocząca jest średni</w:t>
      </w:r>
      <w:r w:rsidR="0032735B">
        <w:t>ą</w:t>
      </w:r>
      <w:r>
        <w:t xml:space="preserve"> z ostatnich </w:t>
      </w:r>
      <m:oMath>
        <m:r>
          <w:rPr>
            <w:rFonts w:ascii="Cambria Math" w:hAnsi="Cambria Math"/>
          </w:rPr>
          <m:t>t</m:t>
        </m:r>
      </m:oMath>
      <w:r>
        <w:t xml:space="preserve"> okresów</w:t>
      </w:r>
      <w:r w:rsidR="00474130">
        <w:t>, a</w:t>
      </w:r>
      <w:r>
        <w:t xml:space="preserve"> </w:t>
      </w:r>
      <w:r w:rsidR="00474130">
        <w:t>w</w:t>
      </w:r>
      <w:r>
        <w:t>ykładnicza średnia krocząca</w:t>
      </w:r>
      <w:r w:rsidR="00474130">
        <w:t xml:space="preserve"> jest</w:t>
      </w:r>
      <w:r>
        <w:t xml:space="preserve"> </w:t>
      </w:r>
      <w:r w:rsidR="00474130">
        <w:t>taką</w:t>
      </w:r>
      <w:r w:rsidR="002F7FFE">
        <w:t>,</w:t>
      </w:r>
      <w:r>
        <w:t xml:space="preserve"> która</w:t>
      </w:r>
      <w:r w:rsidR="0032735B">
        <w:t xml:space="preserve"> wykorzystuje parametr</w:t>
      </w:r>
      <w:r w:rsidR="00FF75E9">
        <w:t xml:space="preserve"> wygładzania</w:t>
      </w:r>
      <w:r w:rsidR="0032735B">
        <w:t xml:space="preserve"> </w:t>
      </w:r>
      <w:r w:rsidR="0032735B">
        <w:rPr>
          <w:rFonts w:cs="Times New Roman"/>
        </w:rPr>
        <w:t>λ (zakres od 0-1). Przy większych wartościach bliższych 1 sprawia</w:t>
      </w:r>
      <w:r w:rsidR="002F7FFE">
        <w:rPr>
          <w:rFonts w:cs="Times New Roman"/>
        </w:rPr>
        <w:t xml:space="preserve"> on,</w:t>
      </w:r>
      <w:r w:rsidR="0032735B">
        <w:rPr>
          <w:rFonts w:cs="Times New Roman"/>
        </w:rPr>
        <w:t xml:space="preserve"> że wartości z wcześniejszych okresów mają niższy wkład w powstawanie średniej.</w:t>
      </w:r>
      <w:r w:rsidR="004834E5">
        <w:rPr>
          <w:rFonts w:cs="Times New Roman"/>
        </w:rPr>
        <w:t xml:space="preserve"> Pozycje zakładane są na podstawie 2 reguł:</w:t>
      </w:r>
    </w:p>
    <w:p w14:paraId="12D84B76" w14:textId="2298F19B" w:rsidR="004834E5" w:rsidRPr="004834E5" w:rsidRDefault="004834E5" w:rsidP="004834E5">
      <w:pPr>
        <w:pStyle w:val="ListParagraph"/>
        <w:numPr>
          <w:ilvl w:val="0"/>
          <w:numId w:val="21"/>
        </w:numPr>
        <w:rPr>
          <w:rFonts w:cs="Times New Roman"/>
        </w:rPr>
      </w:pPr>
      <w:r w:rsidRPr="004834E5">
        <w:rPr>
          <w:rFonts w:cs="Times New Roman"/>
        </w:rPr>
        <w:t>Pozycja długa/zamknięcie pozycji krótkiej gdy MA(T’) &gt; MA(T)</w:t>
      </w:r>
    </w:p>
    <w:p w14:paraId="28FF6526" w14:textId="406C59D9" w:rsidR="004834E5" w:rsidRPr="004834E5" w:rsidRDefault="004834E5" w:rsidP="004834E5">
      <w:pPr>
        <w:pStyle w:val="ListParagraph"/>
        <w:numPr>
          <w:ilvl w:val="0"/>
          <w:numId w:val="21"/>
        </w:numPr>
        <w:rPr>
          <w:rFonts w:cs="Times New Roman"/>
        </w:rPr>
      </w:pPr>
      <w:r w:rsidRPr="004834E5">
        <w:rPr>
          <w:rFonts w:cs="Times New Roman"/>
        </w:rPr>
        <w:t>Pozycja krótka/zamknięcie pozycji długiej gdy MA(T’) &lt; MA(T)</w:t>
      </w:r>
    </w:p>
    <w:p w14:paraId="61D691CD" w14:textId="3FD03C1F" w:rsidR="004834E5" w:rsidRDefault="004834E5" w:rsidP="004834E5">
      <w:pPr>
        <w:ind w:firstLine="0"/>
        <w:rPr>
          <w:rFonts w:cs="Times New Roman"/>
        </w:rPr>
      </w:pPr>
      <w:r>
        <w:rPr>
          <w:rFonts w:cs="Times New Roman"/>
        </w:rPr>
        <w:t>Może być również ustawiona reguła stop loss aby ochronić uzyskane zyski:</w:t>
      </w:r>
    </w:p>
    <w:p w14:paraId="399FC738" w14:textId="628A2DDE" w:rsidR="004834E5" w:rsidRPr="004834E5" w:rsidRDefault="004834E5" w:rsidP="004834E5">
      <w:pPr>
        <w:pStyle w:val="ListParagraph"/>
        <w:numPr>
          <w:ilvl w:val="0"/>
          <w:numId w:val="22"/>
        </w:numPr>
        <w:rPr>
          <w:rFonts w:cs="Times New Roman"/>
        </w:rPr>
      </w:pPr>
      <w:r>
        <w:rPr>
          <w:rFonts w:cs="Times New Roman"/>
        </w:rPr>
        <w:t xml:space="preserve">Zamknij pozycję długą gdy </w:t>
      </w:r>
      <w:commentRangeStart w:id="9"/>
      <w:r>
        <w:rPr>
          <w:rFonts w:cs="Times New Roman"/>
        </w:rPr>
        <w:t>P</w:t>
      </w:r>
      <w:r>
        <w:rPr>
          <w:rFonts w:cs="Times New Roman"/>
          <w:vertAlign w:val="subscript"/>
        </w:rPr>
        <w:t>t</w:t>
      </w:r>
      <w:r>
        <w:rPr>
          <w:rFonts w:cs="Times New Roman"/>
        </w:rPr>
        <w:t xml:space="preserve"> &lt; (1 – Δ) * P</w:t>
      </w:r>
      <w:r>
        <w:rPr>
          <w:rFonts w:cs="Times New Roman"/>
          <w:vertAlign w:val="subscript"/>
        </w:rPr>
        <w:t>t-1</w:t>
      </w:r>
      <w:commentRangeEnd w:id="9"/>
      <w:r w:rsidR="000C1108">
        <w:rPr>
          <w:rStyle w:val="CommentReference"/>
        </w:rPr>
        <w:commentReference w:id="9"/>
      </w:r>
    </w:p>
    <w:p w14:paraId="4A552DB3" w14:textId="14A53295" w:rsidR="004834E5" w:rsidRPr="004834E5" w:rsidRDefault="004834E5" w:rsidP="004834E5">
      <w:pPr>
        <w:pStyle w:val="ListParagraph"/>
        <w:numPr>
          <w:ilvl w:val="0"/>
          <w:numId w:val="22"/>
        </w:numPr>
        <w:rPr>
          <w:rFonts w:cs="Times New Roman"/>
        </w:rPr>
      </w:pPr>
      <w:r>
        <w:rPr>
          <w:rFonts w:cs="Times New Roman"/>
        </w:rPr>
        <w:t>Zamknij pozycję krótką gdy P</w:t>
      </w:r>
      <w:r>
        <w:rPr>
          <w:rFonts w:cs="Times New Roman"/>
          <w:vertAlign w:val="subscript"/>
        </w:rPr>
        <w:t>t</w:t>
      </w:r>
      <w:r>
        <w:rPr>
          <w:rFonts w:cs="Times New Roman"/>
        </w:rPr>
        <w:t xml:space="preserve"> &lt; (1 + Δ) * P</w:t>
      </w:r>
      <w:r>
        <w:rPr>
          <w:rFonts w:cs="Times New Roman"/>
          <w:vertAlign w:val="subscript"/>
        </w:rPr>
        <w:t>t-1</w:t>
      </w:r>
    </w:p>
    <w:p w14:paraId="2A487701" w14:textId="57744073" w:rsidR="004834E5" w:rsidRDefault="004834E5" w:rsidP="004834E5">
      <w:pPr>
        <w:ind w:firstLine="0"/>
        <w:rPr>
          <w:rFonts w:cs="Times New Roman"/>
        </w:rPr>
      </w:pPr>
      <w:r>
        <w:rPr>
          <w:rFonts w:cs="Times New Roman"/>
        </w:rPr>
        <w:t>Gdzie:</w:t>
      </w:r>
    </w:p>
    <w:p w14:paraId="2DA192F0" w14:textId="520061D9" w:rsidR="004834E5" w:rsidRDefault="004834E5" w:rsidP="004834E5">
      <w:pPr>
        <w:ind w:firstLine="0"/>
        <w:rPr>
          <w:rFonts w:cs="Times New Roman"/>
        </w:rPr>
      </w:pPr>
      <w:r>
        <w:rPr>
          <w:rFonts w:cs="Times New Roman"/>
        </w:rPr>
        <w:t>Δ – niska wartość procentowa np. 2%</w:t>
      </w:r>
    </w:p>
    <w:p w14:paraId="424D86D3" w14:textId="32480E18" w:rsidR="004834E5" w:rsidRDefault="004834E5" w:rsidP="004834E5">
      <w:pPr>
        <w:ind w:firstLine="0"/>
        <w:rPr>
          <w:rFonts w:cs="Times New Roman"/>
        </w:rPr>
      </w:pPr>
      <w:r>
        <w:rPr>
          <w:rFonts w:cs="Times New Roman"/>
        </w:rPr>
        <w:t>P</w:t>
      </w:r>
      <w:r>
        <w:rPr>
          <w:rFonts w:cs="Times New Roman"/>
          <w:vertAlign w:val="subscript"/>
        </w:rPr>
        <w:t>t</w:t>
      </w:r>
      <w:r>
        <w:rPr>
          <w:rFonts w:cs="Times New Roman"/>
        </w:rPr>
        <w:t xml:space="preserve"> – cenowa w okresie t</w:t>
      </w:r>
    </w:p>
    <w:p w14:paraId="77D5FE04" w14:textId="6CBE2F7E" w:rsidR="004834E5" w:rsidRDefault="004834E5" w:rsidP="004834E5">
      <w:pPr>
        <w:ind w:firstLine="0"/>
        <w:rPr>
          <w:rFonts w:cs="Times New Roman"/>
        </w:rPr>
      </w:pPr>
    </w:p>
    <w:p w14:paraId="01E2911D" w14:textId="2A0F119A" w:rsidR="00474130" w:rsidRDefault="00530903" w:rsidP="00F76EC9">
      <w:r>
        <w:t>Można zauważyć, że jest to przykład podejścia momentum. W momencie gdy średnia krótkookresowa przekracza długookresową, zakładane jest, że dochodzi do zmiany trendu, przy którym trzeba odpowiednio zmienić pozycje.</w:t>
      </w:r>
    </w:p>
    <w:p w14:paraId="1EDEB8AE" w14:textId="77777777" w:rsidR="00474130" w:rsidRDefault="00474130" w:rsidP="00F76EC9"/>
    <w:p w14:paraId="79326E39" w14:textId="77777777" w:rsidR="003D65EB" w:rsidRDefault="003D65EB">
      <w:pPr>
        <w:spacing w:after="160" w:line="259" w:lineRule="auto"/>
        <w:ind w:firstLine="0"/>
        <w:jc w:val="left"/>
      </w:pPr>
      <w:r>
        <w:br w:type="page"/>
      </w:r>
    </w:p>
    <w:p w14:paraId="18FCFE4F" w14:textId="3E9E48D9" w:rsidR="001F7066" w:rsidRDefault="001F7066" w:rsidP="001F7066">
      <w:pPr>
        <w:pStyle w:val="Heading3"/>
      </w:pPr>
      <w:r>
        <w:lastRenderedPageBreak/>
        <w:t>Strategia oparta o MACD.</w:t>
      </w:r>
    </w:p>
    <w:p w14:paraId="2DC7870F" w14:textId="33D36277" w:rsidR="00474130" w:rsidRDefault="007642D2" w:rsidP="000B7924">
      <w:pPr>
        <w:pStyle w:val="Pierwszyakapit"/>
      </w:pPr>
      <w:commentRangeStart w:id="10"/>
      <w:r>
        <w:t>MACD jest wskaźnikiem</w:t>
      </w:r>
      <w:r w:rsidR="00C042B5">
        <w:t xml:space="preserve"> momentum</w:t>
      </w:r>
      <w:r>
        <w:t xml:space="preserve"> stworzonym w</w:t>
      </w:r>
      <w:r w:rsidR="00474130">
        <w:t xml:space="preserve"> 1970 roku</w:t>
      </w:r>
      <w:r>
        <w:t xml:space="preserve"> przez</w:t>
      </w:r>
      <w:r w:rsidR="00474130">
        <w:t xml:space="preserve"> Gerald</w:t>
      </w:r>
      <w:r>
        <w:t>a</w:t>
      </w:r>
      <w:r w:rsidR="00474130">
        <w:t xml:space="preserve"> App</w:t>
      </w:r>
      <w:r>
        <w:t>la (Chio, 2022</w:t>
      </w:r>
      <w:r w:rsidR="00256F09">
        <w:t>, s. 16-33</w:t>
      </w:r>
      <w:r w:rsidR="00050A0E">
        <w:t xml:space="preserve">; </w:t>
      </w:r>
      <w:r>
        <w:t>Ślepaczuk, 2004</w:t>
      </w:r>
      <w:r w:rsidR="00256F09">
        <w:t>, s. 175-177</w:t>
      </w:r>
      <w:r>
        <w:t>).</w:t>
      </w:r>
      <w:r w:rsidR="00C042B5">
        <w:t xml:space="preserve"> Aby go skonstruować należy stworzyć 3 pośrednie wskaźniki.</w:t>
      </w:r>
    </w:p>
    <w:p w14:paraId="10471EC0" w14:textId="760FEAFD" w:rsidR="00303C6E" w:rsidRDefault="00303C6E" w:rsidP="00303C6E">
      <w:pPr>
        <w:jc w:val="center"/>
      </w:pPr>
      <m:oMathPara>
        <m:oMath>
          <m:r>
            <w:rPr>
              <w:rFonts w:ascii="Cambria Math" w:hAnsi="Cambria Math"/>
            </w:rPr>
            <m:t>MACD=EMA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-EMA(26)</m:t>
          </m:r>
        </m:oMath>
      </m:oMathPara>
    </w:p>
    <w:p w14:paraId="661743D9" w14:textId="3734F95E" w:rsidR="00474130" w:rsidRPr="00303C6E" w:rsidRDefault="00303C6E" w:rsidP="001D5DA4">
      <w:pPr>
        <w:ind w:firstLine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Sygnał=EMA(MACD, 9)</m:t>
          </m:r>
        </m:oMath>
      </m:oMathPara>
    </w:p>
    <w:p w14:paraId="48DD0D91" w14:textId="578E4D41" w:rsidR="00303C6E" w:rsidRPr="00303C6E" w:rsidRDefault="00303C6E" w:rsidP="001D5DA4">
      <w:pPr>
        <w:ind w:firstLine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Histogram=MACD - Sygnał</m:t>
          </m:r>
        </m:oMath>
      </m:oMathPara>
    </w:p>
    <w:p w14:paraId="7E71969B" w14:textId="6A4D37C2" w:rsidR="00303C6E" w:rsidRDefault="00303C6E" w:rsidP="00303C6E">
      <w:pPr>
        <w:pStyle w:val="Pierwszyakapit"/>
      </w:pPr>
      <w:r>
        <w:t>Gdzie:</w:t>
      </w:r>
    </w:p>
    <w:p w14:paraId="0AF04912" w14:textId="4768B9E6" w:rsidR="00303C6E" w:rsidRDefault="00303C6E" w:rsidP="00303C6E">
      <w:pPr>
        <w:ind w:firstLine="0"/>
        <w:rPr>
          <w:rFonts w:eastAsiaTheme="minorEastAsia"/>
        </w:rPr>
      </w:pPr>
      <m:oMath>
        <m:r>
          <w:rPr>
            <w:rFonts w:ascii="Cambria Math" w:hAnsi="Cambria Math"/>
          </w:rPr>
          <m:t>MACD</m:t>
        </m:r>
      </m:oMath>
      <w:r>
        <w:rPr>
          <w:rFonts w:eastAsiaTheme="minorEastAsia"/>
        </w:rPr>
        <w:t xml:space="preserve"> – Linia MACD jako różnica krótkoterminowych i długoterminowych ruchomych średnich wykładniczych. Zwykle stanowią one odpowiednio 12 i 26 </w:t>
      </w:r>
      <w:r w:rsidR="00D15275">
        <w:rPr>
          <w:rFonts w:eastAsiaTheme="minorEastAsia"/>
        </w:rPr>
        <w:t>dni</w:t>
      </w:r>
    </w:p>
    <w:p w14:paraId="59CA4A8E" w14:textId="4E10B3AF" w:rsidR="00303C6E" w:rsidRDefault="00303C6E" w:rsidP="00303C6E">
      <w:pPr>
        <w:ind w:firstLine="0"/>
        <w:rPr>
          <w:rFonts w:eastAsiaTheme="minorEastAsia"/>
        </w:rPr>
      </w:pPr>
      <m:oMath>
        <m:r>
          <w:rPr>
            <w:rFonts w:ascii="Cambria Math" w:hAnsi="Cambria Math"/>
          </w:rPr>
          <m:t>Sygnał</m:t>
        </m:r>
      </m:oMath>
      <w:r>
        <w:rPr>
          <w:rFonts w:eastAsiaTheme="minorEastAsia"/>
        </w:rPr>
        <w:t xml:space="preserve"> – Sygnał jest to</w:t>
      </w:r>
      <w:r w:rsidR="00D15275">
        <w:rPr>
          <w:rFonts w:eastAsiaTheme="minorEastAsia"/>
        </w:rPr>
        <w:t xml:space="preserve"> (zwykle)</w:t>
      </w:r>
      <w:r>
        <w:rPr>
          <w:rFonts w:eastAsiaTheme="minorEastAsia"/>
        </w:rPr>
        <w:t xml:space="preserve"> 9-</w:t>
      </w:r>
      <w:r w:rsidR="00D15275">
        <w:rPr>
          <w:rFonts w:eastAsiaTheme="minorEastAsia"/>
        </w:rPr>
        <w:t>dniowa</w:t>
      </w:r>
      <w:r>
        <w:rPr>
          <w:rFonts w:eastAsiaTheme="minorEastAsia"/>
        </w:rPr>
        <w:t xml:space="preserve"> ruchoma średnia wykładnicza z linii MACD</w:t>
      </w:r>
    </w:p>
    <w:p w14:paraId="70148758" w14:textId="1EF2BD68" w:rsidR="00303C6E" w:rsidRDefault="00303C6E" w:rsidP="00303C6E">
      <w:pPr>
        <w:ind w:firstLine="0"/>
        <w:rPr>
          <w:rFonts w:eastAsiaTheme="minorEastAsia"/>
        </w:rPr>
      </w:pPr>
      <m:oMath>
        <m:r>
          <w:rPr>
            <w:rFonts w:ascii="Cambria Math" w:hAnsi="Cambria Math"/>
          </w:rPr>
          <m:t>Histogram</m:t>
        </m:r>
      </m:oMath>
      <w:r>
        <w:rPr>
          <w:rFonts w:eastAsiaTheme="minorEastAsia"/>
        </w:rPr>
        <w:t xml:space="preserve"> – Histogram, który jest dodatni w momencie gdy MACD jest większe od sygnału i ujemny w przeciwnym wypadku</w:t>
      </w:r>
    </w:p>
    <w:p w14:paraId="1D6346D5" w14:textId="77777777" w:rsidR="00303C6E" w:rsidRDefault="00303C6E" w:rsidP="00303C6E">
      <w:pPr>
        <w:ind w:firstLine="0"/>
        <w:rPr>
          <w:rFonts w:eastAsiaTheme="minorEastAsia"/>
        </w:rPr>
      </w:pPr>
    </w:p>
    <w:p w14:paraId="2F7A0FAE" w14:textId="3A760BBA" w:rsidR="00D15275" w:rsidRDefault="00D15275" w:rsidP="00303C6E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Tym sposobem powstaje wskaźnik MACD(12,26,9). </w:t>
      </w:r>
      <w:commentRangeEnd w:id="10"/>
      <w:r w:rsidR="00D13486">
        <w:rPr>
          <w:rStyle w:val="CommentReference"/>
        </w:rPr>
        <w:commentReference w:id="10"/>
      </w:r>
      <w:r>
        <w:rPr>
          <w:rFonts w:eastAsiaTheme="minorEastAsia"/>
        </w:rPr>
        <w:t xml:space="preserve">Na podstawie wskazanych wskaźników można skonstruować wiele </w:t>
      </w:r>
      <w:r w:rsidR="002F7FFE">
        <w:rPr>
          <w:rFonts w:eastAsiaTheme="minorEastAsia"/>
        </w:rPr>
        <w:t>reguł decyzyjnych</w:t>
      </w:r>
      <w:r>
        <w:rPr>
          <w:rFonts w:eastAsiaTheme="minorEastAsia"/>
        </w:rPr>
        <w:t>. Poniżej zaprezentow</w:t>
      </w:r>
      <w:r w:rsidR="003D65EB">
        <w:rPr>
          <w:rFonts w:eastAsiaTheme="minorEastAsia"/>
        </w:rPr>
        <w:t>ano</w:t>
      </w:r>
      <w:r>
        <w:rPr>
          <w:rFonts w:eastAsiaTheme="minorEastAsia"/>
        </w:rPr>
        <w:t xml:space="preserve"> przykładową:</w:t>
      </w:r>
    </w:p>
    <w:p w14:paraId="6BE3EE0F" w14:textId="6A9F7F47" w:rsidR="00D15275" w:rsidRPr="009A0016" w:rsidRDefault="00D15275" w:rsidP="00D15275">
      <w:pPr>
        <w:pStyle w:val="ListParagraph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Kupno aktywa: </w:t>
      </w:r>
      <w:r w:rsidR="00622FFE">
        <w:rPr>
          <w:rFonts w:eastAsiaTheme="minorEastAsia"/>
        </w:rPr>
        <w:t>MACD</w:t>
      </w:r>
      <w:r w:rsidR="00622FFE">
        <w:rPr>
          <w:rFonts w:eastAsiaTheme="minorEastAsia"/>
          <w:vertAlign w:val="subscript"/>
        </w:rPr>
        <w:t>t</w:t>
      </w:r>
      <w:r w:rsidR="009A0016">
        <w:rPr>
          <w:rFonts w:eastAsiaTheme="minorEastAsia"/>
          <w:vertAlign w:val="subscript"/>
        </w:rPr>
        <w:t>-1</w:t>
      </w:r>
      <w:r w:rsidR="00622FFE">
        <w:rPr>
          <w:rFonts w:eastAsiaTheme="minorEastAsia"/>
        </w:rPr>
        <w:t xml:space="preserve"> </w:t>
      </w:r>
      <w:r w:rsidR="009A0016">
        <w:rPr>
          <w:rFonts w:eastAsiaTheme="minorEastAsia"/>
        </w:rPr>
        <w:t>&lt; Sygnał</w:t>
      </w:r>
      <w:r w:rsidR="009A0016">
        <w:rPr>
          <w:rFonts w:eastAsiaTheme="minorEastAsia"/>
          <w:vertAlign w:val="subscript"/>
        </w:rPr>
        <w:t>t-1</w:t>
      </w:r>
      <w:r w:rsidR="009A0016">
        <w:rPr>
          <w:rFonts w:eastAsiaTheme="minorEastAsia"/>
        </w:rPr>
        <w:t xml:space="preserve"> oraz  MACD</w:t>
      </w:r>
      <w:r w:rsidR="009A0016">
        <w:rPr>
          <w:rFonts w:eastAsiaTheme="minorEastAsia"/>
          <w:vertAlign w:val="subscript"/>
        </w:rPr>
        <w:t>t</w:t>
      </w:r>
      <w:r w:rsidR="009A0016">
        <w:rPr>
          <w:rFonts w:eastAsiaTheme="minorEastAsia"/>
        </w:rPr>
        <w:t xml:space="preserve"> &gt; Sygnał</w:t>
      </w:r>
      <w:r w:rsidR="009A0016">
        <w:rPr>
          <w:rFonts w:eastAsiaTheme="minorEastAsia"/>
          <w:vertAlign w:val="subscript"/>
        </w:rPr>
        <w:t>t</w:t>
      </w:r>
    </w:p>
    <w:p w14:paraId="34BE5978" w14:textId="3DFAF06F" w:rsidR="00303C6E" w:rsidRPr="009A0016" w:rsidRDefault="009A0016" w:rsidP="009A0016">
      <w:pPr>
        <w:pStyle w:val="ListParagraph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>Sprzedaż aktywa: MACD</w:t>
      </w:r>
      <w:r>
        <w:rPr>
          <w:rFonts w:eastAsiaTheme="minorEastAsia"/>
          <w:vertAlign w:val="subscript"/>
        </w:rPr>
        <w:t>t-1</w:t>
      </w:r>
      <w:r>
        <w:rPr>
          <w:rFonts w:eastAsiaTheme="minorEastAsia"/>
        </w:rPr>
        <w:t xml:space="preserve"> &gt; Sygnał</w:t>
      </w:r>
      <w:r>
        <w:rPr>
          <w:rFonts w:eastAsiaTheme="minorEastAsia"/>
          <w:vertAlign w:val="subscript"/>
        </w:rPr>
        <w:t>t-1</w:t>
      </w:r>
      <w:r>
        <w:rPr>
          <w:rFonts w:eastAsiaTheme="minorEastAsia"/>
        </w:rPr>
        <w:t xml:space="preserve"> oraz  MACD</w:t>
      </w:r>
      <w:r>
        <w:rPr>
          <w:rFonts w:eastAsiaTheme="minorEastAsia"/>
          <w:vertAlign w:val="subscript"/>
        </w:rPr>
        <w:t>t</w:t>
      </w:r>
      <w:r>
        <w:rPr>
          <w:rFonts w:eastAsiaTheme="minorEastAsia"/>
        </w:rPr>
        <w:t xml:space="preserve"> &lt; Sygnał</w:t>
      </w:r>
      <w:r>
        <w:rPr>
          <w:rFonts w:eastAsiaTheme="minorEastAsia"/>
          <w:vertAlign w:val="subscript"/>
        </w:rPr>
        <w:t>t</w:t>
      </w:r>
    </w:p>
    <w:p w14:paraId="21AD036E" w14:textId="77777777" w:rsidR="009A0016" w:rsidRDefault="009A0016" w:rsidP="009A0016">
      <w:pPr>
        <w:ind w:firstLine="0"/>
        <w:rPr>
          <w:rFonts w:eastAsiaTheme="minorEastAsia"/>
        </w:rPr>
      </w:pPr>
    </w:p>
    <w:p w14:paraId="1A1C5EAB" w14:textId="77777777" w:rsidR="003D65EB" w:rsidRDefault="003D65EB">
      <w:pPr>
        <w:spacing w:after="160"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B74E19B" w14:textId="572FF64F" w:rsidR="000B7924" w:rsidRDefault="000B7924" w:rsidP="000B7924">
      <w:pPr>
        <w:pStyle w:val="Heading3"/>
        <w:rPr>
          <w:rFonts w:eastAsiaTheme="minorEastAsia"/>
        </w:rPr>
      </w:pPr>
      <w:r>
        <w:rPr>
          <w:rFonts w:eastAsiaTheme="minorEastAsia"/>
        </w:rPr>
        <w:lastRenderedPageBreak/>
        <w:t>Strategi</w:t>
      </w:r>
      <w:r w:rsidR="009F6659">
        <w:rPr>
          <w:rFonts w:eastAsiaTheme="minorEastAsia"/>
        </w:rPr>
        <w:t>a</w:t>
      </w:r>
      <w:r>
        <w:rPr>
          <w:rFonts w:eastAsiaTheme="minorEastAsia"/>
        </w:rPr>
        <w:t xml:space="preserve"> oparta o RSI.</w:t>
      </w:r>
    </w:p>
    <w:p w14:paraId="60E7E3B3" w14:textId="61DFE4F1" w:rsidR="0084699D" w:rsidRDefault="009A0016" w:rsidP="009A001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Kolejna strategia jest oparta o wskaźnik RSI </w:t>
      </w:r>
      <w:r w:rsidR="00925E9D">
        <w:rPr>
          <w:rFonts w:eastAsiaTheme="minorEastAsia"/>
        </w:rPr>
        <w:t xml:space="preserve">(Relative Strength Indicator) </w:t>
      </w:r>
      <w:r w:rsidR="002F7FFE">
        <w:rPr>
          <w:rFonts w:eastAsiaTheme="minorEastAsia"/>
        </w:rPr>
        <w:t>stworzony</w:t>
      </w:r>
      <w:r w:rsidR="00925E9D">
        <w:rPr>
          <w:rFonts w:eastAsiaTheme="minorEastAsia"/>
        </w:rPr>
        <w:t xml:space="preserve"> przez J. Wells Wilder (Chio, 2022</w:t>
      </w:r>
      <w:r w:rsidR="00256F09">
        <w:rPr>
          <w:rFonts w:eastAsiaTheme="minorEastAsia"/>
        </w:rPr>
        <w:t xml:space="preserve">, </w:t>
      </w:r>
      <w:r w:rsidR="00256F09">
        <w:t>s. 16-33</w:t>
      </w:r>
      <w:r w:rsidR="00316741">
        <w:t xml:space="preserve">; </w:t>
      </w:r>
      <w:r w:rsidR="0084699D">
        <w:rPr>
          <w:rFonts w:eastAsiaTheme="minorEastAsia"/>
        </w:rPr>
        <w:t>Ślepaczuk, 2004</w:t>
      </w:r>
      <w:r w:rsidR="00256F09">
        <w:rPr>
          <w:rFonts w:eastAsiaTheme="minorEastAsia"/>
        </w:rPr>
        <w:t xml:space="preserve">, </w:t>
      </w:r>
      <w:r w:rsidR="00256F09">
        <w:t>s. 175-177</w:t>
      </w:r>
      <w:r w:rsidR="0084699D">
        <w:rPr>
          <w:rFonts w:eastAsiaTheme="minorEastAsia"/>
        </w:rPr>
        <w:t>)</w:t>
      </w:r>
      <w:r w:rsidR="00925E9D">
        <w:rPr>
          <w:rFonts w:eastAsiaTheme="minorEastAsia"/>
        </w:rPr>
        <w:t>.</w:t>
      </w:r>
      <w:r w:rsidR="0084699D">
        <w:rPr>
          <w:rFonts w:eastAsiaTheme="minorEastAsia"/>
        </w:rPr>
        <w:t xml:space="preserve"> </w:t>
      </w:r>
      <w:r w:rsidR="004B2787">
        <w:rPr>
          <w:rFonts w:eastAsiaTheme="minorEastAsia"/>
        </w:rPr>
        <w:t>Jest on zunitaryzowanym oscylatorem impetu</w:t>
      </w:r>
      <w:r w:rsidR="00206960">
        <w:rPr>
          <w:rFonts w:eastAsiaTheme="minorEastAsia"/>
        </w:rPr>
        <w:t xml:space="preserve"> w skali 0 do 100. Jest on wyznacznikiem na jakim etapie momentum znajduje się cena aktywa. Te o RSI powyżej 70 są wykupione, a te poniżej 30 są wyprzedane. Poniżej kroki do wyliczenia wskaźnika.</w:t>
      </w:r>
    </w:p>
    <w:commentRangeStart w:id="11"/>
    <w:p w14:paraId="485B71E0" w14:textId="6F9A1B87" w:rsidR="00206960" w:rsidRPr="00206960" w:rsidRDefault="00000000" w:rsidP="00206960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RSI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=  100-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789DB44B" w14:textId="6E2CA0DE" w:rsidR="00206960" w:rsidRPr="00206960" w:rsidRDefault="00000000" w:rsidP="00206960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Średni Zysk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Średnia Strata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53DF6293" w14:textId="77777777" w:rsidR="00206960" w:rsidRDefault="00206960" w:rsidP="00206960">
      <w:pPr>
        <w:jc w:val="center"/>
      </w:pPr>
    </w:p>
    <w:p w14:paraId="3B27B5DC" w14:textId="0BEC8929" w:rsidR="00A33300" w:rsidRPr="00A33300" w:rsidRDefault="00A33300" w:rsidP="00A33300">
      <w:pPr>
        <w:ind w:firstLine="0"/>
        <w:jc w:val="left"/>
        <w:rPr>
          <w:lang w:val="en-US"/>
        </w:rPr>
      </w:pPr>
      <w:r w:rsidRPr="00A33300">
        <w:rPr>
          <w:lang w:val="en-US"/>
        </w:rPr>
        <w:t>Gdzie:</w:t>
      </w:r>
    </w:p>
    <w:p w14:paraId="71B7D8FE" w14:textId="716B5545" w:rsidR="00A33300" w:rsidRDefault="00000000" w:rsidP="00A33300">
      <w:pPr>
        <w:ind w:firstLine="0"/>
        <w:jc w:val="lef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RSI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33300" w:rsidRPr="00A33300">
        <w:rPr>
          <w:rFonts w:eastAsiaTheme="minorEastAsia"/>
          <w:lang w:val="en-US"/>
        </w:rPr>
        <w:t xml:space="preserve"> – Relative S</w:t>
      </w:r>
      <w:r w:rsidR="00A33300">
        <w:rPr>
          <w:rFonts w:eastAsiaTheme="minorEastAsia"/>
          <w:lang w:val="en-US"/>
        </w:rPr>
        <w:t>trength Indicator</w:t>
      </w:r>
    </w:p>
    <w:p w14:paraId="20123A59" w14:textId="5A831AE5" w:rsidR="00A33300" w:rsidRDefault="00000000" w:rsidP="00A33300">
      <w:pPr>
        <w:ind w:firstLine="0"/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Średni Zysk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33300" w:rsidRPr="00A33300">
        <w:rPr>
          <w:rFonts w:eastAsiaTheme="minorEastAsia"/>
        </w:rPr>
        <w:t xml:space="preserve"> – Średnia zysków w okresie</w:t>
      </w:r>
      <w:r w:rsidR="00A33300">
        <w:rPr>
          <w:rFonts w:eastAsiaTheme="minorEastAsia"/>
        </w:rPr>
        <w:t xml:space="preserve"> t</w:t>
      </w:r>
    </w:p>
    <w:p w14:paraId="3F9F6BF4" w14:textId="45E9D447" w:rsidR="00A33300" w:rsidRDefault="00000000" w:rsidP="00A33300">
      <w:pPr>
        <w:ind w:firstLine="0"/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Średnia Strata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33300">
        <w:rPr>
          <w:rFonts w:eastAsiaTheme="minorEastAsia"/>
        </w:rPr>
        <w:t xml:space="preserve"> – Średnia strat w okresie t</w:t>
      </w:r>
      <w:commentRangeEnd w:id="11"/>
      <w:r w:rsidR="009B4133">
        <w:rPr>
          <w:rStyle w:val="CommentReference"/>
        </w:rPr>
        <w:commentReference w:id="11"/>
      </w:r>
    </w:p>
    <w:p w14:paraId="3B0FB83D" w14:textId="55F93870" w:rsidR="00A33300" w:rsidRDefault="00A33300" w:rsidP="00A33300">
      <w:pPr>
        <w:ind w:firstLine="0"/>
        <w:jc w:val="left"/>
      </w:pPr>
    </w:p>
    <w:p w14:paraId="24CD1DFF" w14:textId="3B4B057A" w:rsidR="00A33300" w:rsidRDefault="00A33300" w:rsidP="00A33300">
      <w:pPr>
        <w:ind w:firstLine="0"/>
        <w:jc w:val="left"/>
      </w:pPr>
      <w:r>
        <w:t>Reguły zakładania pozycji są proste.</w:t>
      </w:r>
    </w:p>
    <w:p w14:paraId="412E503F" w14:textId="5C68FD6C" w:rsidR="00A33300" w:rsidRPr="00A33300" w:rsidRDefault="00A33300" w:rsidP="00A33300">
      <w:pPr>
        <w:pStyle w:val="ListParagraph"/>
        <w:numPr>
          <w:ilvl w:val="0"/>
          <w:numId w:val="24"/>
        </w:numPr>
        <w:jc w:val="left"/>
      </w:pPr>
      <w:r>
        <w:t>Zakup aktywa: RSI</w:t>
      </w:r>
      <w:r>
        <w:rPr>
          <w:vertAlign w:val="subscript"/>
        </w:rPr>
        <w:t>t</w:t>
      </w:r>
      <w:r>
        <w:t xml:space="preserve"> &lt;= 30</w:t>
      </w:r>
    </w:p>
    <w:p w14:paraId="1BED46F1" w14:textId="7CC2D680" w:rsidR="00A33300" w:rsidRPr="00A33300" w:rsidRDefault="00A33300" w:rsidP="00A33300">
      <w:pPr>
        <w:pStyle w:val="ListParagraph"/>
        <w:numPr>
          <w:ilvl w:val="0"/>
          <w:numId w:val="24"/>
        </w:numPr>
        <w:jc w:val="left"/>
      </w:pPr>
      <w:r>
        <w:t>Sprzedaż aktywa: RSI</w:t>
      </w:r>
      <w:r>
        <w:rPr>
          <w:vertAlign w:val="subscript"/>
        </w:rPr>
        <w:t>t</w:t>
      </w:r>
      <w:r>
        <w:t xml:space="preserve"> &gt;= </w:t>
      </w:r>
      <w:r w:rsidR="006726BB">
        <w:t>7</w:t>
      </w:r>
      <w:r>
        <w:t>0</w:t>
      </w:r>
    </w:p>
    <w:p w14:paraId="32ABE944" w14:textId="44A74AA8" w:rsidR="009A0016" w:rsidRPr="00A33300" w:rsidRDefault="0084699D" w:rsidP="009A0016">
      <w:pPr>
        <w:ind w:firstLine="0"/>
        <w:rPr>
          <w:rFonts w:eastAsiaTheme="minorEastAsia"/>
        </w:rPr>
      </w:pPr>
      <w:r w:rsidRPr="00A33300">
        <w:rPr>
          <w:rFonts w:eastAsiaTheme="minorEastAsia"/>
        </w:rPr>
        <w:t xml:space="preserve"> </w:t>
      </w:r>
      <w:r w:rsidR="00925E9D" w:rsidRPr="00A33300">
        <w:rPr>
          <w:rFonts w:eastAsiaTheme="minorEastAsia"/>
        </w:rPr>
        <w:t xml:space="preserve"> </w:t>
      </w:r>
    </w:p>
    <w:p w14:paraId="29CFCF73" w14:textId="77777777" w:rsidR="003D65EB" w:rsidRDefault="003D65EB">
      <w:pPr>
        <w:spacing w:after="160" w:line="259" w:lineRule="auto"/>
        <w:ind w:firstLine="0"/>
        <w:jc w:val="left"/>
      </w:pPr>
      <w:r>
        <w:br w:type="page"/>
      </w:r>
    </w:p>
    <w:p w14:paraId="225859F0" w14:textId="42D0BA3C" w:rsidR="000B7924" w:rsidRDefault="000B7924" w:rsidP="000B7924">
      <w:pPr>
        <w:pStyle w:val="Heading3"/>
      </w:pPr>
      <w:r>
        <w:lastRenderedPageBreak/>
        <w:t>Strategia Bollinger Bands</w:t>
      </w:r>
    </w:p>
    <w:p w14:paraId="3FF00AB4" w14:textId="655EDC66" w:rsidR="002825C5" w:rsidRDefault="00530903" w:rsidP="00F76EC9">
      <w:r>
        <w:t>Moving Average może by</w:t>
      </w:r>
      <w:r w:rsidR="000E6820">
        <w:t>ć też</w:t>
      </w:r>
      <w:r>
        <w:t xml:space="preserve"> wykorzyst</w:t>
      </w:r>
      <w:r w:rsidR="000E6820">
        <w:t>yw</w:t>
      </w:r>
      <w:r>
        <w:t xml:space="preserve">ane przy podejściach typu </w:t>
      </w:r>
      <w:r w:rsidR="002F7FFE">
        <w:t>m</w:t>
      </w:r>
      <w:r>
        <w:t>ean</w:t>
      </w:r>
      <w:r w:rsidR="002F7FFE">
        <w:t>-r</w:t>
      </w:r>
      <w:r>
        <w:t>eversion. Przykładem tego jest strategia</w:t>
      </w:r>
      <w:r w:rsidR="003D65EB">
        <w:t xml:space="preserve"> oparta o wskaźnik</w:t>
      </w:r>
      <w:r>
        <w:t xml:space="preserve"> Bollinger Bands</w:t>
      </w:r>
      <w:r w:rsidR="00B92C06">
        <w:t>,</w:t>
      </w:r>
      <w:r w:rsidR="000E6820">
        <w:t xml:space="preserve"> opracowan</w:t>
      </w:r>
      <w:r w:rsidR="00B92C06">
        <w:t>a</w:t>
      </w:r>
      <w:r w:rsidR="000E6820">
        <w:t xml:space="preserve"> przez </w:t>
      </w:r>
      <w:commentRangeStart w:id="12"/>
      <w:r w:rsidR="000E6820">
        <w:t>Johna Bollingera (Murphy, 1999</w:t>
      </w:r>
      <w:r w:rsidR="00E66892">
        <w:t>, s.195-213</w:t>
      </w:r>
      <w:r w:rsidR="000E6820">
        <w:t>)</w:t>
      </w:r>
      <w:r>
        <w:t>.</w:t>
      </w:r>
      <w:r w:rsidR="00F76EC9">
        <w:t xml:space="preserve"> </w:t>
      </w:r>
      <w:commentRangeEnd w:id="12"/>
      <w:r w:rsidR="00B92C06">
        <w:rPr>
          <w:rStyle w:val="CommentReference"/>
        </w:rPr>
        <w:commentReference w:id="12"/>
      </w:r>
      <w:r w:rsidR="00F76EC9">
        <w:t xml:space="preserve">Tak samo jak przy poprzedniej strategii wykorzystywany jest wskaźnik MA(t) jako punkt odniesienia. </w:t>
      </w:r>
      <w:r w:rsidR="000E6820">
        <w:t xml:space="preserve">Wokół średniej ruchomej stawiane są 2 wstęgi (wstęgi Bollingera), które są od niej oddalone o n odchyleń standardowych. Przekroczenie którejkolwiek z tych wstęg oznacza ponadprzeciętny </w:t>
      </w:r>
      <w:r w:rsidR="002825C5">
        <w:t>wzrost lub spadek</w:t>
      </w:r>
      <w:r w:rsidR="003D65EB">
        <w:t xml:space="preserve"> ceny aktywa</w:t>
      </w:r>
      <w:r w:rsidR="002825C5">
        <w:t>, które zgodnie z pode</w:t>
      </w:r>
      <w:r w:rsidR="00A33300">
        <w:t>j</w:t>
      </w:r>
      <w:r w:rsidR="002825C5">
        <w:t xml:space="preserve">ściem </w:t>
      </w:r>
      <w:r w:rsidR="002F7FFE">
        <w:t>m</w:t>
      </w:r>
      <w:r w:rsidR="002825C5">
        <w:t>ean</w:t>
      </w:r>
      <w:r w:rsidR="002F7FFE">
        <w:t>-r</w:t>
      </w:r>
      <w:r w:rsidR="002825C5">
        <w:t xml:space="preserve">eversion może z większym </w:t>
      </w:r>
      <w:r w:rsidR="004B2787">
        <w:t>prawdopodobieństwem</w:t>
      </w:r>
      <w:r w:rsidR="002825C5">
        <w:t xml:space="preserve"> odbi</w:t>
      </w:r>
      <w:r w:rsidR="003D65EB">
        <w:t>ć się</w:t>
      </w:r>
      <w:r w:rsidR="002825C5">
        <w:t xml:space="preserve"> </w:t>
      </w:r>
      <w:r w:rsidR="003D65EB">
        <w:t xml:space="preserve">z </w:t>
      </w:r>
      <w:r w:rsidR="002825C5">
        <w:t>powrotem w kierunku średniej ruchomej.</w:t>
      </w:r>
    </w:p>
    <w:p w14:paraId="09057118" w14:textId="231D17A1" w:rsidR="00530903" w:rsidRPr="002825C5" w:rsidRDefault="002825C5" w:rsidP="002825C5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σ=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 μ)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0B3576D2" w14:textId="6AED08F5" w:rsidR="002825C5" w:rsidRPr="002825C5" w:rsidRDefault="002825C5" w:rsidP="002825C5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UB= 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+m*σ </m:t>
          </m:r>
        </m:oMath>
      </m:oMathPara>
    </w:p>
    <w:p w14:paraId="1289812E" w14:textId="6D050D00" w:rsidR="002825C5" w:rsidRPr="00906B10" w:rsidRDefault="002825C5" w:rsidP="002825C5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LB= 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-m*σ </m:t>
          </m:r>
        </m:oMath>
      </m:oMathPara>
    </w:p>
    <w:p w14:paraId="5155EFEB" w14:textId="18C64E02" w:rsidR="002825C5" w:rsidRDefault="002825C5" w:rsidP="002825C5">
      <w:pPr>
        <w:ind w:firstLine="0"/>
        <w:rPr>
          <w:rFonts w:eastAsiaTheme="minorEastAsia"/>
        </w:rPr>
      </w:pPr>
      <w:r>
        <w:rPr>
          <w:rFonts w:eastAsiaTheme="minorEastAsia"/>
        </w:rPr>
        <w:t>Gdzie:</w:t>
      </w:r>
    </w:p>
    <w:p w14:paraId="08893381" w14:textId="33026815" w:rsidR="002825C5" w:rsidRDefault="002825C5" w:rsidP="002825C5">
      <w:pPr>
        <w:ind w:firstLine="0"/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MA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Średnie ruchoma z T okresów</w:t>
      </w:r>
    </w:p>
    <w:p w14:paraId="2B548647" w14:textId="77777777" w:rsidR="002825C5" w:rsidRDefault="002825C5" w:rsidP="002825C5">
      <w:pPr>
        <w:ind w:firstLine="0"/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UB</m:t>
        </m:r>
      </m:oMath>
      <w:r>
        <w:rPr>
          <w:rFonts w:eastAsiaTheme="minorEastAsia"/>
        </w:rPr>
        <w:t xml:space="preserve"> – Górna wstęga Bollingera</w:t>
      </w:r>
    </w:p>
    <w:p w14:paraId="384052FD" w14:textId="26AD993C" w:rsidR="002825C5" w:rsidRDefault="002825C5" w:rsidP="002825C5">
      <w:pPr>
        <w:ind w:firstLine="0"/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LB</m:t>
        </m:r>
      </m:oMath>
      <w:r>
        <w:rPr>
          <w:rFonts w:eastAsiaTheme="minorEastAsia"/>
        </w:rPr>
        <w:t xml:space="preserve"> – Dolna wstęga Bollingera</w:t>
      </w:r>
    </w:p>
    <w:p w14:paraId="6B7F6EA8" w14:textId="77777777" w:rsidR="00906B10" w:rsidRDefault="00906B10" w:rsidP="002825C5">
      <w:pPr>
        <w:ind w:firstLine="0"/>
        <w:jc w:val="left"/>
        <w:rPr>
          <w:rFonts w:eastAsiaTheme="minorEastAsia"/>
        </w:rPr>
      </w:pPr>
    </w:p>
    <w:p w14:paraId="2F13B010" w14:textId="48373C30" w:rsidR="00906B10" w:rsidRDefault="00906B10" w:rsidP="00906B10">
      <w:r>
        <w:t>Cena większość czasu będzie się poruszała pomiędzy tymi wstęgami</w:t>
      </w:r>
      <w:r w:rsidR="00F20385">
        <w:t xml:space="preserve">. Reguły decyzyjne w przypadku podejścia </w:t>
      </w:r>
      <w:r w:rsidR="002F7FFE">
        <w:t>m</w:t>
      </w:r>
      <w:r w:rsidR="00F20385">
        <w:t>ean</w:t>
      </w:r>
      <w:r w:rsidR="002F7FFE">
        <w:t>-r</w:t>
      </w:r>
      <w:r w:rsidR="00F20385">
        <w:t>eversio</w:t>
      </w:r>
      <w:r w:rsidR="008E3961">
        <w:t>n</w:t>
      </w:r>
      <w:r w:rsidR="00F20385">
        <w:t xml:space="preserve"> powinny być następujące:</w:t>
      </w:r>
    </w:p>
    <w:p w14:paraId="730C8DF3" w14:textId="6B230779" w:rsidR="00F20385" w:rsidRDefault="002F7FFE" w:rsidP="00F20385">
      <w:pPr>
        <w:pStyle w:val="ListParagraph"/>
        <w:numPr>
          <w:ilvl w:val="0"/>
          <w:numId w:val="25"/>
        </w:numPr>
      </w:pPr>
      <w:r>
        <w:t xml:space="preserve">Sprzedaż </w:t>
      </w:r>
      <w:r w:rsidR="00F20385">
        <w:t>aktywa: Cena &gt; UB</w:t>
      </w:r>
    </w:p>
    <w:p w14:paraId="21BA87F6" w14:textId="242F8952" w:rsidR="00F20385" w:rsidRDefault="002F7FFE" w:rsidP="00F20385">
      <w:pPr>
        <w:pStyle w:val="ListParagraph"/>
        <w:numPr>
          <w:ilvl w:val="0"/>
          <w:numId w:val="25"/>
        </w:numPr>
      </w:pPr>
      <w:r>
        <w:t>Kupno</w:t>
      </w:r>
      <w:r w:rsidR="00F20385">
        <w:t xml:space="preserve"> aktywa: Cena &lt; LB</w:t>
      </w:r>
    </w:p>
    <w:p w14:paraId="3BCA5463" w14:textId="6576F791" w:rsidR="002825C5" w:rsidRDefault="00F20385" w:rsidP="00ED2BC4">
      <w:r w:rsidRPr="00ED2BC4">
        <w:t>Gwałtowne przebicie górnej lub dolnej wstęgi może też oznaczać początek nowego trendu, szczególnie jeśli towarzyszy temu wzrost zmienności</w:t>
      </w:r>
      <w:r w:rsidR="00BB2FA7">
        <w:t>.</w:t>
      </w:r>
      <w:r w:rsidRPr="00ED2BC4">
        <w:t xml:space="preserve"> </w:t>
      </w:r>
      <w:r w:rsidR="00BB2FA7">
        <w:t>D</w:t>
      </w:r>
      <w:r w:rsidRPr="00ED2BC4">
        <w:t>latego warto</w:t>
      </w:r>
      <w:r>
        <w:t xml:space="preserve"> łączyć ten wskaźnik </w:t>
      </w:r>
      <w:r w:rsidR="000B7924">
        <w:t>na przykład z</w:t>
      </w:r>
      <w:r>
        <w:t xml:space="preserve"> RSI</w:t>
      </w:r>
      <w:r w:rsidRPr="00F20385">
        <w:t>.</w:t>
      </w:r>
    </w:p>
    <w:p w14:paraId="7AC6295D" w14:textId="77777777" w:rsidR="00F20385" w:rsidRDefault="00F20385" w:rsidP="002825C5">
      <w:pPr>
        <w:ind w:firstLine="0"/>
        <w:jc w:val="left"/>
      </w:pPr>
    </w:p>
    <w:p w14:paraId="08C214F7" w14:textId="77777777" w:rsidR="00ED2BC4" w:rsidRPr="008306B8" w:rsidRDefault="00ED2BC4">
      <w:pPr>
        <w:spacing w:after="160" w:line="259" w:lineRule="auto"/>
        <w:ind w:firstLine="0"/>
        <w:jc w:val="left"/>
      </w:pPr>
      <w:r w:rsidRPr="008306B8">
        <w:br w:type="page"/>
      </w:r>
    </w:p>
    <w:p w14:paraId="3B7B50E0" w14:textId="1FF0C677" w:rsidR="002F7FFE" w:rsidRDefault="002F7FFE" w:rsidP="002F7FFE">
      <w:pPr>
        <w:pStyle w:val="Heading3"/>
        <w:rPr>
          <w:lang w:val="en-US"/>
        </w:rPr>
      </w:pPr>
      <w:r>
        <w:rPr>
          <w:lang w:val="en-US"/>
        </w:rPr>
        <w:lastRenderedPageBreak/>
        <w:t>Strategia Pairs Trading</w:t>
      </w:r>
    </w:p>
    <w:p w14:paraId="705350DB" w14:textId="6190F523" w:rsidR="005A2859" w:rsidRDefault="00F20385" w:rsidP="00ED2BC4">
      <w:r w:rsidRPr="00F961EF">
        <w:t>Pairs Trading jest</w:t>
      </w:r>
      <w:r w:rsidR="002F7FFE" w:rsidRPr="00F961EF">
        <w:t xml:space="preserve"> klasyczną</w:t>
      </w:r>
      <w:r w:rsidRPr="00F961EF">
        <w:t xml:space="preserve"> strategi</w:t>
      </w:r>
      <w:r w:rsidR="002F7FFE" w:rsidRPr="00F961EF">
        <w:t>ą</w:t>
      </w:r>
      <w:r w:rsidR="00ED2BC4" w:rsidRPr="00F961EF">
        <w:t xml:space="preserve"> </w:t>
      </w:r>
      <w:r w:rsidR="002F7FFE" w:rsidRPr="00F961EF">
        <w:t>opartą o</w:t>
      </w:r>
      <w:r w:rsidRPr="00F961EF">
        <w:t xml:space="preserve"> </w:t>
      </w:r>
      <w:r w:rsidR="002F7FFE" w:rsidRPr="00F961EF">
        <w:t>m</w:t>
      </w:r>
      <w:r w:rsidRPr="00F961EF">
        <w:t>ean</w:t>
      </w:r>
      <w:r w:rsidR="002F7FFE" w:rsidRPr="00F961EF">
        <w:t>-r</w:t>
      </w:r>
      <w:r w:rsidRPr="00F961EF">
        <w:t>eversion</w:t>
      </w:r>
      <w:r w:rsidR="00ED2BC4" w:rsidRPr="00F961EF">
        <w:t xml:space="preserve">. </w:t>
      </w:r>
      <w:r w:rsidR="006648B2" w:rsidRPr="006648B2">
        <w:t>W przeciwi</w:t>
      </w:r>
      <w:r w:rsidR="006648B2">
        <w:t xml:space="preserve">eństwie do pozostałych </w:t>
      </w:r>
      <w:r w:rsidR="00700C9B">
        <w:t xml:space="preserve">strategii </w:t>
      </w:r>
      <w:r w:rsidR="006648B2">
        <w:t xml:space="preserve">jest zawsze neutralna rynkowo. </w:t>
      </w:r>
      <w:r w:rsidR="00796385">
        <w:t>Nie opiera się też w żadnym stopniu</w:t>
      </w:r>
      <w:r w:rsidR="000B7924">
        <w:t xml:space="preserve"> o</w:t>
      </w:r>
      <w:r w:rsidR="00796385">
        <w:t xml:space="preserve"> wskaźniki </w:t>
      </w:r>
      <w:r w:rsidR="00ED2BC4">
        <w:t>techniczne</w:t>
      </w:r>
      <w:r w:rsidR="002F7FFE">
        <w:t>,</w:t>
      </w:r>
      <w:r w:rsidR="00796385">
        <w:t xml:space="preserve"> a jedynie na założeniach statystycznych</w:t>
      </w:r>
      <w:r w:rsidR="002F7FFE">
        <w:t>,</w:t>
      </w:r>
      <w:r w:rsidR="00796385">
        <w:t xml:space="preserve"> że są pary aktywów</w:t>
      </w:r>
      <w:r w:rsidR="00700C9B">
        <w:t>,</w:t>
      </w:r>
      <w:r w:rsidR="00796385">
        <w:t xml:space="preserve"> których</w:t>
      </w:r>
      <w:r w:rsidR="002F7FFE">
        <w:t xml:space="preserve"> ceny</w:t>
      </w:r>
      <w:r w:rsidR="00796385">
        <w:t xml:space="preserve"> pewnych okresach mogą do siebie zbiegać.</w:t>
      </w:r>
      <w:r w:rsidR="005A2859">
        <w:t xml:space="preserve"> </w:t>
      </w:r>
    </w:p>
    <w:p w14:paraId="3BBB3524" w14:textId="65ACA71A" w:rsidR="000B7924" w:rsidRDefault="005A2859" w:rsidP="000B7924">
      <w:r>
        <w:t>Tworzenie strategii składa się z dwóch etapów. W pierwszym wybierane są pary</w:t>
      </w:r>
      <w:r w:rsidR="0050062D">
        <w:t xml:space="preserve"> aktywów</w:t>
      </w:r>
      <w:r>
        <w:t xml:space="preserve"> według wybranej reguł</w:t>
      </w:r>
      <w:r w:rsidR="0050062D">
        <w:t>y, np.</w:t>
      </w:r>
      <w:r>
        <w:t xml:space="preserve"> kointegracja </w:t>
      </w:r>
      <w:r w:rsidR="0050062D">
        <w:t>cen</w:t>
      </w:r>
      <w:r>
        <w:t xml:space="preserve">, </w:t>
      </w:r>
      <w:r w:rsidR="00166696">
        <w:t>metryka dystansowa</w:t>
      </w:r>
      <w:r>
        <w:t xml:space="preserve"> między wektorami cen lub</w:t>
      </w:r>
      <w:r w:rsidR="00E116A2">
        <w:t xml:space="preserve"> chociażby</w:t>
      </w:r>
      <w:r>
        <w:t xml:space="preserve"> dobór spó</w:t>
      </w:r>
      <w:r w:rsidR="00166696">
        <w:t>łek</w:t>
      </w:r>
      <w:r>
        <w:t xml:space="preserve"> z tego samego sektora</w:t>
      </w:r>
      <w:r w:rsidR="00796385">
        <w:t>.</w:t>
      </w:r>
      <w:r w:rsidR="00ED2BC4">
        <w:t xml:space="preserve"> </w:t>
      </w:r>
      <w:r w:rsidR="001F7066">
        <w:t xml:space="preserve">W kolejnym etapie </w:t>
      </w:r>
      <w:r w:rsidR="002F7FFE">
        <w:t>dokonywane są transakcje.</w:t>
      </w:r>
      <w:r w:rsidR="00ED2BC4">
        <w:t xml:space="preserve"> </w:t>
      </w:r>
      <w:r w:rsidR="002F7FFE">
        <w:t>G</w:t>
      </w:r>
      <w:r w:rsidR="00ED2BC4">
        <w:t>dy</w:t>
      </w:r>
      <w:r w:rsidR="002F7FFE">
        <w:t xml:space="preserve"> różnica</w:t>
      </w:r>
      <w:r w:rsidR="00ED2BC4">
        <w:t xml:space="preserve"> cen sparowanych aktywów</w:t>
      </w:r>
      <w:r w:rsidR="002F7FFE">
        <w:t xml:space="preserve"> znacząco</w:t>
      </w:r>
      <w:r w:rsidR="00ED2BC4">
        <w:t xml:space="preserve"> odbiega od swojej średniej</w:t>
      </w:r>
      <w:r w:rsidR="002F7FFE">
        <w:t xml:space="preserve"> historycznej</w:t>
      </w:r>
      <w:r w:rsidR="00ED2BC4">
        <w:t xml:space="preserve">, zakładana jest pozycja krótka na zwycięzcę i długa na przegranego. </w:t>
      </w:r>
      <w:r w:rsidR="001F7066">
        <w:t xml:space="preserve">W momencie gdy różnica cen zbiegnie się do swojej średniej, wtedy </w:t>
      </w:r>
      <w:r w:rsidR="000B7924">
        <w:t>pozycje są zamykane. Zrealizowanym zyskiem wtedy jest</w:t>
      </w:r>
    </w:p>
    <w:p w14:paraId="5AB6C3F5" w14:textId="77777777" w:rsidR="000B7924" w:rsidRDefault="000B7924" w:rsidP="00E116A2">
      <w:pPr>
        <w:ind w:firstLine="0"/>
      </w:pPr>
    </w:p>
    <w:commentRangeStart w:id="13"/>
    <w:p w14:paraId="6FB3DF93" w14:textId="18482026" w:rsidR="00E116A2" w:rsidRPr="00E116A2" w:rsidRDefault="00000000" w:rsidP="00E116A2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long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cum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 xml:space="preserve">(t))-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cum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(t-s))</m:t>
          </m:r>
        </m:oMath>
      </m:oMathPara>
    </w:p>
    <w:p w14:paraId="487FFD6A" w14:textId="05F45252" w:rsidR="00E116A2" w:rsidRDefault="00000000" w:rsidP="00E116A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short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cum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(t-s))-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cum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(t))</m:t>
          </m:r>
        </m:oMath>
      </m:oMathPara>
    </w:p>
    <w:p w14:paraId="5D4F5BC2" w14:textId="593612D6" w:rsidR="00E116A2" w:rsidRPr="006726BB" w:rsidRDefault="00E116A2" w:rsidP="00E116A2">
      <w:pPr>
        <w:ind w:firstLine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R=0.5*(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long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short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AEF6622" w14:textId="2B937CA5" w:rsidR="006726BB" w:rsidRDefault="00EA63C0" w:rsidP="006726BB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g</w:t>
      </w:r>
      <w:r w:rsidR="006726BB">
        <w:rPr>
          <w:rFonts w:eastAsiaTheme="minorEastAsia"/>
        </w:rPr>
        <w:t>dzie:</w:t>
      </w:r>
    </w:p>
    <w:p w14:paraId="3FCFBCFF" w14:textId="7F5F49D6" w:rsidR="006726BB" w:rsidRDefault="00000000" w:rsidP="006726BB">
      <w:pPr>
        <w:ind w:firstLine="0"/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long</m:t>
            </m:r>
          </m:sub>
        </m:sSub>
      </m:oMath>
      <w:r w:rsidR="006726BB">
        <w:rPr>
          <w:rFonts w:eastAsiaTheme="minorEastAsia"/>
        </w:rPr>
        <w:t xml:space="preserve"> – zwrot z zamknięcia pozycji długiej na spółce niedowartościowanej</w:t>
      </w:r>
    </w:p>
    <w:p w14:paraId="45DE215F" w14:textId="468CC48A" w:rsidR="006726BB" w:rsidRDefault="00000000" w:rsidP="006726BB">
      <w:pPr>
        <w:ind w:firstLine="0"/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short</m:t>
            </m:r>
          </m:sub>
        </m:sSub>
      </m:oMath>
      <w:r w:rsidR="006726BB">
        <w:rPr>
          <w:rFonts w:eastAsiaTheme="minorEastAsia"/>
        </w:rPr>
        <w:t xml:space="preserve"> – zwrot z zamknięcia pozycji krótkiej na spółce przewartościowanej</w:t>
      </w:r>
    </w:p>
    <w:p w14:paraId="7DBDEFF6" w14:textId="51077D2A" w:rsidR="006726BB" w:rsidRPr="006726BB" w:rsidRDefault="006726BB" w:rsidP="006726BB">
      <w:pPr>
        <w:ind w:firstLine="0"/>
        <w:jc w:val="left"/>
      </w:pP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– zwrot z obydwu pozycji</w:t>
      </w:r>
      <w:commentRangeEnd w:id="13"/>
      <w:r w:rsidR="00987C32">
        <w:rPr>
          <w:rStyle w:val="CommentReference"/>
        </w:rPr>
        <w:commentReference w:id="13"/>
      </w:r>
    </w:p>
    <w:p w14:paraId="042CE900" w14:textId="77777777" w:rsidR="001F7066" w:rsidRDefault="001F7066" w:rsidP="00ED2BC4"/>
    <w:p w14:paraId="3DE19628" w14:textId="54218481" w:rsidR="00120E49" w:rsidRPr="002F7FFE" w:rsidRDefault="00ED2BC4" w:rsidP="002F7FFE">
      <w:r>
        <w:t xml:space="preserve">Strategia ta </w:t>
      </w:r>
      <w:r w:rsidR="00987C32">
        <w:t>opiera się</w:t>
      </w:r>
      <w:r>
        <w:t xml:space="preserve"> na arbitrażu statystycznym i stale się rozwija. Przez lata powstają nowe podejścia wyznaczania par jak i </w:t>
      </w:r>
      <w:r w:rsidR="00383BE8">
        <w:t>sygnałów zakładanych pozycji.  W kolejnym rozdziale zostanie przybliżona jej historia oraz liczne podejścia jakie dotychczas były zastosowane, aby zwiększyć jej zyskowność.</w:t>
      </w:r>
    </w:p>
    <w:p w14:paraId="7072E34D" w14:textId="77777777" w:rsidR="00120E49" w:rsidRPr="006648B2" w:rsidRDefault="00120E49" w:rsidP="009C483F">
      <w:pPr>
        <w:ind w:firstLine="0"/>
        <w:rPr>
          <w:rFonts w:eastAsiaTheme="minorEastAsia"/>
        </w:rPr>
      </w:pPr>
    </w:p>
    <w:p w14:paraId="216B5D88" w14:textId="77777777" w:rsidR="00445B6B" w:rsidRPr="006648B2" w:rsidRDefault="00445B6B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sz w:val="32"/>
          <w:szCs w:val="32"/>
        </w:rPr>
      </w:pPr>
      <w:bookmarkStart w:id="14" w:name="_Toc203251928"/>
      <w:r w:rsidRPr="006648B2">
        <w:br w:type="page"/>
      </w:r>
    </w:p>
    <w:p w14:paraId="1D83F0DD" w14:textId="6129F365" w:rsidR="00760A33" w:rsidRDefault="00760A33" w:rsidP="00030CAD">
      <w:pPr>
        <w:pStyle w:val="Heading2"/>
      </w:pPr>
      <w:r>
        <w:lastRenderedPageBreak/>
        <w:t>Rozdział II</w:t>
      </w:r>
      <w:bookmarkEnd w:id="14"/>
      <w:r>
        <w:t xml:space="preserve"> </w:t>
      </w:r>
    </w:p>
    <w:p w14:paraId="2DF31071" w14:textId="60CA97D7" w:rsidR="009F6659" w:rsidRPr="009F6659" w:rsidRDefault="00760A33" w:rsidP="00030CAD">
      <w:pPr>
        <w:pStyle w:val="Heading2"/>
      </w:pPr>
      <w:bookmarkStart w:id="15" w:name="_Toc203251929"/>
      <w:r>
        <w:t>Specyfikacja strategii Pairs Trading</w:t>
      </w:r>
      <w:bookmarkEnd w:id="15"/>
    </w:p>
    <w:p w14:paraId="3244F1B4" w14:textId="77777777" w:rsidR="00760A33" w:rsidRPr="00760A33" w:rsidRDefault="00760A33" w:rsidP="00760A33">
      <w:pPr>
        <w:pStyle w:val="ListParagraph"/>
        <w:keepNext/>
        <w:keepLines/>
        <w:numPr>
          <w:ilvl w:val="0"/>
          <w:numId w:val="15"/>
        </w:numPr>
        <w:spacing w:before="160" w:after="80"/>
        <w:contextualSpacing w:val="0"/>
        <w:jc w:val="left"/>
        <w:outlineLvl w:val="2"/>
        <w:rPr>
          <w:rFonts w:eastAsiaTheme="majorEastAsia" w:cstheme="majorBidi"/>
          <w:b/>
          <w:bCs/>
          <w:vanish/>
          <w:sz w:val="28"/>
          <w:szCs w:val="28"/>
        </w:rPr>
      </w:pPr>
      <w:bookmarkStart w:id="16" w:name="_Toc203251930"/>
      <w:bookmarkEnd w:id="16"/>
    </w:p>
    <w:p w14:paraId="71FA1295" w14:textId="227E9165" w:rsidR="00760A33" w:rsidRPr="00760A33" w:rsidRDefault="00BB1D4B" w:rsidP="00C32275">
      <w:pPr>
        <w:pStyle w:val="Heading3"/>
      </w:pPr>
      <w:bookmarkStart w:id="17" w:name="_Toc203251931"/>
      <w:bookmarkEnd w:id="17"/>
      <w:r>
        <w:t>Początki strategii Pairs Trading</w:t>
      </w:r>
    </w:p>
    <w:p w14:paraId="6A68CD0F" w14:textId="3DA52B1A" w:rsidR="00BF0F90" w:rsidRDefault="009B566F" w:rsidP="0059765A">
      <w:pPr>
        <w:pStyle w:val="Pierwszyakapit"/>
      </w:pPr>
      <w:r>
        <w:t xml:space="preserve">„Pairs trading” jest strategią inwestycyjną, która </w:t>
      </w:r>
      <w:r w:rsidR="008306B8">
        <w:t>stworzona została</w:t>
      </w:r>
      <w:r>
        <w:t xml:space="preserve"> już w</w:t>
      </w:r>
      <w:r w:rsidR="008306B8">
        <w:t xml:space="preserve"> połowie</w:t>
      </w:r>
      <w:r>
        <w:t xml:space="preserve"> lat 80.</w:t>
      </w:r>
      <w:r w:rsidR="00895E5C">
        <w:t xml:space="preserve"> Nunzio Tartaglia stworzył zespół informatyków, matematyków i fizyków w Morgan Stanleyu, którego głównym zadaniem było opracowanie zaawansowanych metod statystycznych</w:t>
      </w:r>
      <w:r w:rsidR="006435B3">
        <w:t xml:space="preserve"> wykorzystywanych do handlowani aktywami</w:t>
      </w:r>
      <w:r w:rsidR="00895E5C">
        <w:t>.</w:t>
      </w:r>
      <w:r w:rsidR="006435B3">
        <w:t xml:space="preserve"> Już</w:t>
      </w:r>
      <w:r w:rsidR="001B18BA">
        <w:t xml:space="preserve"> wtedy decyzje oparte o umiejętności trader</w:t>
      </w:r>
      <w:r w:rsidR="009369C9">
        <w:t>a</w:t>
      </w:r>
      <w:r w:rsidR="001B18BA">
        <w:t xml:space="preserve"> zostały zastąpione rygorystycznymi regułami zaaplikowany</w:t>
      </w:r>
      <w:r w:rsidR="00895E5C">
        <w:t>mi programistycznie</w:t>
      </w:r>
      <w:r w:rsidR="001B18BA">
        <w:t>.</w:t>
      </w:r>
      <w:r w:rsidR="00166696">
        <w:t xml:space="preserve"> Jedne z tych programów zajmowały się identyfikowaniem par spółek, których ceny miały tende</w:t>
      </w:r>
      <w:r w:rsidR="00BB1D4B">
        <w:t>n</w:t>
      </w:r>
      <w:r w:rsidR="00166696">
        <w:t xml:space="preserve">cje do poruszania się podobny sposób. </w:t>
      </w:r>
    </w:p>
    <w:p w14:paraId="10166294" w14:textId="77777777" w:rsidR="00BF0F90" w:rsidRDefault="00BF0F90" w:rsidP="0059765A">
      <w:pPr>
        <w:pStyle w:val="Pierwszyakapit"/>
      </w:pPr>
    </w:p>
    <w:p w14:paraId="159138DB" w14:textId="00231D39" w:rsidR="0059765A" w:rsidRDefault="008306B8" w:rsidP="00BF0F90">
      <w:r>
        <w:t xml:space="preserve">W 1987 strategia </w:t>
      </w:r>
      <w:r w:rsidR="006435B3">
        <w:t>Paris Trading</w:t>
      </w:r>
      <w:r>
        <w:t xml:space="preserve"> przyniosła</w:t>
      </w:r>
      <w:r w:rsidR="006435B3">
        <w:t xml:space="preserve"> bankowi inwestycyjnemu</w:t>
      </w:r>
      <w:r>
        <w:t xml:space="preserve"> $50 mln zysku</w:t>
      </w:r>
      <w:r w:rsidR="00166696">
        <w:t xml:space="preserve">. </w:t>
      </w:r>
      <w:r w:rsidR="009369C9">
        <w:t xml:space="preserve">Sukces tej strategii sam Tartaglia przypisywał czynnikom psychologicznym. Uważał że ludzie z zasady nie lubią grać przeciwko ludzkiej naturze, </w:t>
      </w:r>
      <w:r w:rsidR="006435B3">
        <w:t>opartej</w:t>
      </w:r>
      <w:r w:rsidR="009369C9">
        <w:t xml:space="preserve"> </w:t>
      </w:r>
      <w:r w:rsidR="006435B3">
        <w:t>na</w:t>
      </w:r>
      <w:r w:rsidR="009369C9">
        <w:t xml:space="preserve"> kupowa</w:t>
      </w:r>
      <w:r w:rsidR="006435B3">
        <w:t>niu</w:t>
      </w:r>
      <w:r w:rsidR="009369C9">
        <w:t xml:space="preserve"> aktyw</w:t>
      </w:r>
      <w:r w:rsidR="006435B3">
        <w:t>ów</w:t>
      </w:r>
      <w:r w:rsidR="009369C9">
        <w:t>, których ceny idą w górę i sprzedawa</w:t>
      </w:r>
      <w:r w:rsidR="006435B3">
        <w:t>niu</w:t>
      </w:r>
      <w:r w:rsidR="009369C9">
        <w:t xml:space="preserve"> t</w:t>
      </w:r>
      <w:r w:rsidR="006435B3">
        <w:t>ych,</w:t>
      </w:r>
      <w:r w:rsidR="009369C9">
        <w:t xml:space="preserve"> których ceny idą w dół.</w:t>
      </w:r>
      <w:r w:rsidR="00BB1D4B">
        <w:t xml:space="preserve"> Prawdą jest, że gdyby </w:t>
      </w:r>
      <w:r w:rsidR="00B12378">
        <w:t>działało tu prawo rynków efektywnych</w:t>
      </w:r>
      <w:r w:rsidR="006435B3">
        <w:t xml:space="preserve"> w mocnej wersji</w:t>
      </w:r>
      <w:r w:rsidR="00B12378">
        <w:t>, tego typu strategię nie powinny przynosić zysków.</w:t>
      </w:r>
    </w:p>
    <w:p w14:paraId="28CF5E29" w14:textId="77777777" w:rsidR="0059765A" w:rsidRDefault="0059765A" w:rsidP="006726BB"/>
    <w:p w14:paraId="73DCDEE4" w14:textId="094B18B5" w:rsidR="006169ED" w:rsidRDefault="001B18BA" w:rsidP="006726BB">
      <w:r>
        <w:t>Pomimo</w:t>
      </w:r>
      <w:r w:rsidR="004F7FF7">
        <w:t>,</w:t>
      </w:r>
      <w:r>
        <w:t xml:space="preserve"> że zespół został</w:t>
      </w:r>
      <w:r w:rsidR="009369C9">
        <w:t xml:space="preserve"> </w:t>
      </w:r>
      <w:r>
        <w:t>odwołany w 1989</w:t>
      </w:r>
      <w:r w:rsidR="004F7FF7">
        <w:t xml:space="preserve"> r.</w:t>
      </w:r>
      <w:r>
        <w:t xml:space="preserve"> po okresie </w:t>
      </w:r>
      <w:r w:rsidR="009369C9">
        <w:t>niskiej skuteczności</w:t>
      </w:r>
      <w:r>
        <w:t>,</w:t>
      </w:r>
      <w:r w:rsidR="005819B1">
        <w:t xml:space="preserve"> </w:t>
      </w:r>
      <w:r>
        <w:t xml:space="preserve">Pairs Trading zaczęła </w:t>
      </w:r>
      <w:r w:rsidR="0013473D">
        <w:t>zyskiwać na popularności jako</w:t>
      </w:r>
      <w:r w:rsidR="005819B1">
        <w:t xml:space="preserve"> strategia market-neutral</w:t>
      </w:r>
      <w:r w:rsidR="005A2859">
        <w:t>.</w:t>
      </w:r>
      <w:r w:rsidR="006726BB">
        <w:t xml:space="preserve"> Po raz pierwszy w literaturze naukowej</w:t>
      </w:r>
      <w:r w:rsidR="002414BC">
        <w:t>, jej skuteczność</w:t>
      </w:r>
      <w:r w:rsidR="006435B3">
        <w:t xml:space="preserve"> </w:t>
      </w:r>
      <w:r w:rsidR="006726BB">
        <w:t>została udokumentowana przez Evana Gateva w 1999 roku (Gatev, 1999</w:t>
      </w:r>
      <w:r w:rsidR="00E66892">
        <w:t>, s. 1-10</w:t>
      </w:r>
      <w:r w:rsidR="006726BB">
        <w:t>).</w:t>
      </w:r>
      <w:r w:rsidR="0000021E">
        <w:t xml:space="preserve"> </w:t>
      </w:r>
    </w:p>
    <w:p w14:paraId="51326D77" w14:textId="77777777" w:rsidR="006169ED" w:rsidRDefault="006169ED">
      <w:pPr>
        <w:spacing w:after="160" w:line="259" w:lineRule="auto"/>
        <w:ind w:firstLine="0"/>
        <w:jc w:val="left"/>
      </w:pPr>
      <w:r>
        <w:br w:type="page"/>
      </w:r>
    </w:p>
    <w:p w14:paraId="2D30A64D" w14:textId="77777777" w:rsidR="007307DC" w:rsidRDefault="007307DC" w:rsidP="006726BB"/>
    <w:p w14:paraId="2D3C5679" w14:textId="77777777" w:rsidR="006726BB" w:rsidRDefault="006726BB" w:rsidP="006726BB"/>
    <w:p w14:paraId="62FDB8CD" w14:textId="695125D7" w:rsidR="0059765A" w:rsidRDefault="00BF0F90" w:rsidP="0059765A">
      <w:pPr>
        <w:pStyle w:val="Heading3"/>
      </w:pPr>
      <w:r>
        <w:t xml:space="preserve">Problematyka strategii </w:t>
      </w:r>
      <w:r w:rsidR="007307DC">
        <w:t>Pair</w:t>
      </w:r>
      <w:r w:rsidR="00E534C4">
        <w:t>s</w:t>
      </w:r>
      <w:r w:rsidR="007307DC">
        <w:t xml:space="preserve"> Trading</w:t>
      </w:r>
    </w:p>
    <w:p w14:paraId="2B9F9575" w14:textId="29AE8682" w:rsidR="0059765A" w:rsidRDefault="007307DC" w:rsidP="0059765A">
      <w:pPr>
        <w:pStyle w:val="Pierwszyakapit"/>
      </w:pPr>
      <w:r>
        <w:t>Cel strategii</w:t>
      </w:r>
      <w:r w:rsidR="0035671F">
        <w:t xml:space="preserve"> jest bardzo prosty: znaleźć 2 aktywa, których ceny poruszały się razem historycznie. </w:t>
      </w:r>
      <w:r w:rsidR="006435B3">
        <w:t>P</w:t>
      </w:r>
      <w:r w:rsidR="0035671F">
        <w:t xml:space="preserve">rzykładem </w:t>
      </w:r>
      <w:r w:rsidR="006435B3">
        <w:t xml:space="preserve">mogą </w:t>
      </w:r>
      <w:r w:rsidR="0035671F">
        <w:t>b</w:t>
      </w:r>
      <w:r w:rsidR="006435B3">
        <w:t>yć</w:t>
      </w:r>
      <w:r w:rsidR="0035671F">
        <w:t xml:space="preserve"> ceny akcji Coca Cola i Pepsico w  latach 1970-1990</w:t>
      </w:r>
      <w:r w:rsidR="00967E77">
        <w:t xml:space="preserve"> (por. Wykres 1)</w:t>
      </w:r>
      <w:r w:rsidR="0035671F">
        <w:t>.</w:t>
      </w:r>
    </w:p>
    <w:p w14:paraId="6498568F" w14:textId="77777777" w:rsidR="006169ED" w:rsidRDefault="006169ED" w:rsidP="006169ED">
      <w:pPr>
        <w:pStyle w:val="Caption"/>
        <w:ind w:firstLine="0"/>
      </w:pPr>
    </w:p>
    <w:p w14:paraId="13532F1B" w14:textId="5F48623B" w:rsidR="0035671F" w:rsidRPr="00A44A4C" w:rsidRDefault="0035671F" w:rsidP="006169ED">
      <w:pPr>
        <w:pStyle w:val="Caption"/>
        <w:ind w:firstLine="0"/>
      </w:pPr>
      <w:bookmarkStart w:id="18" w:name="_Toc204209261"/>
      <w:commentRangeStart w:id="19"/>
      <w:r w:rsidRPr="00A44A4C">
        <w:t xml:space="preserve">Wykres </w:t>
      </w:r>
      <w:r w:rsidR="005A7D9D">
        <w:fldChar w:fldCharType="begin"/>
      </w:r>
      <w:r w:rsidR="005A7D9D">
        <w:instrText xml:space="preserve"> SEQ Wykres \* ARABIC </w:instrText>
      </w:r>
      <w:r w:rsidR="005A7D9D">
        <w:fldChar w:fldCharType="separate"/>
      </w:r>
      <w:r w:rsidR="005A7D9D">
        <w:rPr>
          <w:noProof/>
        </w:rPr>
        <w:t>1</w:t>
      </w:r>
      <w:r w:rsidR="005A7D9D">
        <w:rPr>
          <w:noProof/>
        </w:rPr>
        <w:fldChar w:fldCharType="end"/>
      </w:r>
      <w:r w:rsidRPr="00A44A4C">
        <w:t>. Skumulowane zwroty</w:t>
      </w:r>
      <w:r w:rsidR="00A44A4C">
        <w:t xml:space="preserve"> z</w:t>
      </w:r>
      <w:r w:rsidRPr="00A44A4C">
        <w:t xml:space="preserve"> akcji Coca Cola i Pepsico</w:t>
      </w:r>
      <w:r w:rsidR="007826ED" w:rsidRPr="00A44A4C">
        <w:t xml:space="preserve"> w latach 1970 -1990</w:t>
      </w:r>
      <w:r w:rsidR="00A44A4C" w:rsidRPr="00A44A4C">
        <w:t>.</w:t>
      </w:r>
      <w:bookmarkEnd w:id="18"/>
      <w:commentRangeEnd w:id="19"/>
      <w:r w:rsidR="00BB571B">
        <w:rPr>
          <w:rStyle w:val="CommentReference"/>
        </w:rPr>
        <w:commentReference w:id="19"/>
      </w:r>
    </w:p>
    <w:p w14:paraId="550B1917" w14:textId="1BE94C8E" w:rsidR="007826ED" w:rsidRPr="007826ED" w:rsidRDefault="007826ED" w:rsidP="007826ED">
      <w:pPr>
        <w:jc w:val="left"/>
      </w:pPr>
      <w:r w:rsidRPr="007826ED">
        <w:rPr>
          <w:noProof/>
        </w:rPr>
        <w:drawing>
          <wp:inline distT="0" distB="0" distL="0" distR="0" wp14:anchorId="4CD9A7E7" wp14:editId="45B27A2A">
            <wp:extent cx="4679315" cy="2743835"/>
            <wp:effectExtent l="0" t="0" r="0" b="0"/>
            <wp:docPr id="1551067007" name="Picture 4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67007" name="Picture 4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6EEC" w14:textId="43645532" w:rsidR="0035671F" w:rsidRPr="0035671F" w:rsidRDefault="0035671F" w:rsidP="0035671F">
      <w:pPr>
        <w:jc w:val="left"/>
      </w:pPr>
    </w:p>
    <w:p w14:paraId="1391678D" w14:textId="50F43CBB" w:rsidR="009B566F" w:rsidRDefault="009B566F" w:rsidP="00451E40">
      <w:pPr>
        <w:pStyle w:val="Pierwszyakapit"/>
      </w:pPr>
    </w:p>
    <w:p w14:paraId="666252B7" w14:textId="7A59822A" w:rsidR="0010312F" w:rsidRDefault="00F62FED" w:rsidP="001375CC">
      <w:r>
        <w:t xml:space="preserve">Na przestrzeni lat skumulowane zwroty akcji tych spółek poruszały blisko siebie i </w:t>
      </w:r>
      <w:r w:rsidR="003C4A75">
        <w:t>zbiegały do swojej średniej różnicy.</w:t>
      </w:r>
      <w:r w:rsidR="00A44A4C">
        <w:t xml:space="preserve">  Sytuacja wygląda już inaczej w latach 1990 – 2024.</w:t>
      </w:r>
    </w:p>
    <w:p w14:paraId="7036609D" w14:textId="77777777" w:rsidR="001375CC" w:rsidRPr="001375CC" w:rsidRDefault="001375CC" w:rsidP="001375CC"/>
    <w:p w14:paraId="551F5F98" w14:textId="77777777" w:rsidR="006169ED" w:rsidRDefault="006169ED">
      <w:pPr>
        <w:spacing w:after="160" w:line="259" w:lineRule="auto"/>
        <w:ind w:firstLine="0"/>
        <w:jc w:val="left"/>
        <w:rPr>
          <w:sz w:val="20"/>
          <w:szCs w:val="20"/>
        </w:rPr>
      </w:pPr>
      <w:r>
        <w:br w:type="page"/>
      </w:r>
    </w:p>
    <w:p w14:paraId="4A9113CE" w14:textId="6C24BC8E" w:rsidR="00A44A4C" w:rsidRDefault="00A44A4C" w:rsidP="00A44A4C">
      <w:pPr>
        <w:pStyle w:val="Caption"/>
      </w:pPr>
      <w:bookmarkStart w:id="20" w:name="_Toc204209262"/>
      <w:r>
        <w:lastRenderedPageBreak/>
        <w:t xml:space="preserve">Wykres </w:t>
      </w:r>
      <w:r w:rsidR="005A7D9D">
        <w:fldChar w:fldCharType="begin"/>
      </w:r>
      <w:r w:rsidR="005A7D9D">
        <w:instrText xml:space="preserve"> SEQ Wykres \* ARABIC </w:instrText>
      </w:r>
      <w:r w:rsidR="005A7D9D">
        <w:fldChar w:fldCharType="separate"/>
      </w:r>
      <w:r w:rsidR="005A7D9D">
        <w:rPr>
          <w:noProof/>
        </w:rPr>
        <w:t>2</w:t>
      </w:r>
      <w:r w:rsidR="005A7D9D">
        <w:rPr>
          <w:noProof/>
        </w:rPr>
        <w:fldChar w:fldCharType="end"/>
      </w:r>
      <w:r>
        <w:t>. Skumulowane zwroty z akcji</w:t>
      </w:r>
      <w:r w:rsidR="006A1FAA">
        <w:t xml:space="preserve"> Coca Cola i Pep</w:t>
      </w:r>
      <w:r w:rsidR="009369C9">
        <w:t>s</w:t>
      </w:r>
      <w:r w:rsidR="006A1FAA">
        <w:t>ico w latach 1990 – 2024.</w:t>
      </w:r>
      <w:bookmarkEnd w:id="20"/>
    </w:p>
    <w:p w14:paraId="632CFC9E" w14:textId="01C0C75A" w:rsidR="00A44A4C" w:rsidRDefault="00A44A4C" w:rsidP="00A44A4C">
      <w:r w:rsidRPr="00A44A4C">
        <w:rPr>
          <w:noProof/>
        </w:rPr>
        <w:drawing>
          <wp:inline distT="0" distB="0" distL="0" distR="0" wp14:anchorId="5E61A613" wp14:editId="1118B811">
            <wp:extent cx="4679315" cy="2753360"/>
            <wp:effectExtent l="0" t="0" r="0" b="8890"/>
            <wp:docPr id="1347737374" name="Picture 14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37374" name="Picture 14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EDB85" w14:textId="20FF90B4" w:rsidR="00453DEA" w:rsidRDefault="006A1FAA" w:rsidP="006A1FAA">
      <w:r>
        <w:t>Pom</w:t>
      </w:r>
      <w:r w:rsidRPr="006A1FAA">
        <w:t>imo zbieżności</w:t>
      </w:r>
      <w:r w:rsidR="00C41FBA">
        <w:t>,</w:t>
      </w:r>
      <w:r w:rsidRPr="006A1FAA">
        <w:t xml:space="preserve"> w latach 2010-2015 są widoczne okresy</w:t>
      </w:r>
      <w:r w:rsidR="00C41FBA">
        <w:t>,</w:t>
      </w:r>
      <w:r w:rsidRPr="006A1FAA">
        <w:t xml:space="preserve"> gdy zwroty Pepsico odbiegają od Coca Col</w:t>
      </w:r>
      <w:r w:rsidR="00181533">
        <w:t>i</w:t>
      </w:r>
      <w:r w:rsidR="00AC17EF">
        <w:t>, których trwałość wynosi</w:t>
      </w:r>
      <w:r w:rsidRPr="006A1FAA">
        <w:t xml:space="preserve"> </w:t>
      </w:r>
      <w:r w:rsidR="00181533">
        <w:t>nawet do</w:t>
      </w:r>
      <w:r w:rsidRPr="006A1FAA">
        <w:t xml:space="preserve"> 5 lat. Strategia pairs trading na tej parze przynosiłaby spore strat</w:t>
      </w:r>
      <w:r w:rsidR="00181533">
        <w:t>y</w:t>
      </w:r>
      <w:r w:rsidR="00E50325">
        <w:t>. Potwierdza to jedynie fakt</w:t>
      </w:r>
      <w:r w:rsidR="00AC17EF">
        <w:t>, że</w:t>
      </w:r>
      <w:r w:rsidR="00E50325">
        <w:t xml:space="preserve"> spółki  mające zbieżne zwroty historycznie wcale nie muszą dalej podążać tym kierunkiem</w:t>
      </w:r>
      <w:r w:rsidR="00453DEA">
        <w:t xml:space="preserve"> w następnych okresach</w:t>
      </w:r>
      <w:r w:rsidR="009B5D50">
        <w:t>.</w:t>
      </w:r>
    </w:p>
    <w:p w14:paraId="3E391A8A" w14:textId="77777777" w:rsidR="006435B3" w:rsidRDefault="006435B3" w:rsidP="006A1FAA"/>
    <w:p w14:paraId="06290BC8" w14:textId="792A9A4D" w:rsidR="00BF4279" w:rsidRDefault="00453DEA" w:rsidP="006A1FAA">
      <w:r>
        <w:t>Pierwszym wyzwaniem strategii Pairs Trading jest zatem sam dobór par</w:t>
      </w:r>
      <w:r w:rsidR="00BF0F90">
        <w:t xml:space="preserve">. W jaki sposób identyfikować pary, które poruszają się w podobny sposób? Czy powinny to być spółki z tego samego sektora? Skąd możemy mieć pewność, że w następnym okresie te pary </w:t>
      </w:r>
      <w:r>
        <w:t>się nie rozejdą</w:t>
      </w:r>
      <w:r w:rsidR="00BF0F90">
        <w:t>? Czy pary w ogóle powinny być na pocz</w:t>
      </w:r>
      <w:r>
        <w:t>ątku w jakikolwiek sposób dobierane według określonych reguł?</w:t>
      </w:r>
      <w:r w:rsidR="00BF0F90">
        <w:t xml:space="preserve"> </w:t>
      </w:r>
    </w:p>
    <w:p w14:paraId="4629D806" w14:textId="77777777" w:rsidR="00BF0F90" w:rsidRDefault="00BF0F90" w:rsidP="006A1FAA"/>
    <w:p w14:paraId="2D43BEF9" w14:textId="075EFEAB" w:rsidR="0000021E" w:rsidRDefault="00453DEA" w:rsidP="0000021E">
      <w:r>
        <w:t xml:space="preserve">Kolejnym problemem jest zidentyfikowanie samych odchyleń. W jaki </w:t>
      </w:r>
      <w:r w:rsidR="006C2F21">
        <w:t>sposób odmierzyć spread cenowy?</w:t>
      </w:r>
      <w:r w:rsidR="00BB1D4B">
        <w:t xml:space="preserve"> Czy powinniśmy patrzeć na różnicę absolutną cen</w:t>
      </w:r>
      <w:r w:rsidR="004641B7">
        <w:t>,</w:t>
      </w:r>
      <w:r w:rsidR="00BB1D4B">
        <w:t xml:space="preserve"> czy może ich skumulowanych zwrotów?</w:t>
      </w:r>
      <w:r w:rsidR="006C2F21">
        <w:t xml:space="preserve"> </w:t>
      </w:r>
      <w:r w:rsidR="00BB1D4B">
        <w:t>Z jakiego okresu powinniśmy wybierać średnią i odchylenia standardowe? Jak postawić warunki wejścia i wyjścia oraz jak daleko powinna odchodzić różnica cen od średniej, aby można było uznać ją za anomalię</w:t>
      </w:r>
      <w:r w:rsidR="006435B3">
        <w:t>?</w:t>
      </w:r>
      <w:r w:rsidR="00BB1D4B">
        <w:t xml:space="preserve"> Od wielu lat badacze oraz inwestorzy próbują odpowiedzieć na to pytanie licznymi metodami.</w:t>
      </w:r>
    </w:p>
    <w:p w14:paraId="318A5E79" w14:textId="77777777" w:rsidR="00BB1D4B" w:rsidRDefault="00BB1D4B" w:rsidP="00BB1D4B"/>
    <w:p w14:paraId="631D819A" w14:textId="3BE687CF" w:rsidR="009D4F68" w:rsidRDefault="00E534C4" w:rsidP="00384B83">
      <w:pPr>
        <w:pStyle w:val="Heading3"/>
      </w:pPr>
      <w:r>
        <w:lastRenderedPageBreak/>
        <w:t>Podejście</w:t>
      </w:r>
      <w:r w:rsidR="00384B83">
        <w:t xml:space="preserve"> dystansow</w:t>
      </w:r>
      <w:r>
        <w:t>e</w:t>
      </w:r>
    </w:p>
    <w:p w14:paraId="185204F8" w14:textId="1654EA8F" w:rsidR="001375CC" w:rsidRDefault="00BB1D4B" w:rsidP="00120E51">
      <w:r>
        <w:t xml:space="preserve">Evan </w:t>
      </w:r>
      <w:r w:rsidR="009D4F68">
        <w:t>Gatev</w:t>
      </w:r>
      <w:r w:rsidR="00384B83">
        <w:t xml:space="preserve"> jako</w:t>
      </w:r>
      <w:r>
        <w:t xml:space="preserve"> pierwszy już w 1999 roku sformalizował strategię Pairs Trading. Był świadom jej wielkich sukcesów w latach 80</w:t>
      </w:r>
      <w:r w:rsidR="00CF069A">
        <w:t>,</w:t>
      </w:r>
      <w:r>
        <w:t xml:space="preserve"> jak i jej stale rosnącej popularności wśród inwestorów i traderów</w:t>
      </w:r>
      <w:r w:rsidR="001375CC">
        <w:t>. W swojej pracy nawiązuje do Prawa Jednej Ceny</w:t>
      </w:r>
      <w:r w:rsidR="00120E51">
        <w:t xml:space="preserve"> (Law of One Price)</w:t>
      </w:r>
      <w:r w:rsidR="001375CC">
        <w:t xml:space="preserve"> </w:t>
      </w:r>
      <w:commentRangeStart w:id="21"/>
      <w:r w:rsidR="001375CC">
        <w:t>(Ingersoll, 1987</w:t>
      </w:r>
      <w:r w:rsidR="00E66892">
        <w:t>, 166-180</w:t>
      </w:r>
      <w:r w:rsidR="001375CC">
        <w:t>)</w:t>
      </w:r>
      <w:commentRangeEnd w:id="21"/>
      <w:r w:rsidR="00CF069A">
        <w:rPr>
          <w:rStyle w:val="CommentReference"/>
        </w:rPr>
        <w:commentReference w:id="21"/>
      </w:r>
      <w:r w:rsidR="001375CC">
        <w:t xml:space="preserve">. W mocniejszej wersji twierdzi ono, </w:t>
      </w:r>
      <w:r w:rsidR="001375CC" w:rsidRPr="0000021E">
        <w:t>że dwa instrumenty inwestycyjne o identycznych wypłatach w każdym możliwym stanie świata muszą mieć tę samą wartość bieżącą.</w:t>
      </w:r>
      <w:r w:rsidR="001375CC">
        <w:t xml:space="preserve"> Słabsze założenie głosi</w:t>
      </w:r>
      <w:r w:rsidR="008F78E5">
        <w:t>,</w:t>
      </w:r>
      <w:r w:rsidR="001375CC">
        <w:t xml:space="preserve"> że instrumenty o „prawie” identycznych wypłatach w każdym możliwym stanie świata powinny mieć tę samą wartość bieżącą. </w:t>
      </w:r>
      <w:commentRangeStart w:id="22"/>
      <w:r w:rsidR="00120E51">
        <w:t>Oznacza to w praktyce</w:t>
      </w:r>
      <w:r w:rsidR="00AE1A5D">
        <w:t>, że</w:t>
      </w:r>
      <w:r w:rsidR="00120E51">
        <w:t xml:space="preserve"> aktywa których ceny w czasie się zbiegają te ceny powinny mieć prawie identyczne.</w:t>
      </w:r>
      <w:commentRangeEnd w:id="22"/>
      <w:r w:rsidR="002C551B">
        <w:rPr>
          <w:rStyle w:val="CommentReference"/>
        </w:rPr>
        <w:commentReference w:id="22"/>
      </w:r>
      <w:r w:rsidR="00120E51">
        <w:t xml:space="preserve"> Jest to zatem podstawa do szukania takich par i korzystania z </w:t>
      </w:r>
      <w:r w:rsidR="006435B3">
        <w:t>nieefektywności</w:t>
      </w:r>
      <w:r w:rsidR="00120E51">
        <w:t xml:space="preserve"> rynkowych.</w:t>
      </w:r>
    </w:p>
    <w:p w14:paraId="5E7BBBF1" w14:textId="77777777" w:rsidR="00120E51" w:rsidRDefault="00120E51" w:rsidP="00120E51"/>
    <w:p w14:paraId="50D95189" w14:textId="62D61DA1" w:rsidR="00120E51" w:rsidRDefault="00120E51" w:rsidP="00120E51">
      <w:r>
        <w:t>Zaproponowana strategia składa się zatem z dwóch etapów. Pie</w:t>
      </w:r>
      <w:r w:rsidR="00F0590A">
        <w:t>rwsz</w:t>
      </w:r>
      <w:r>
        <w:t xml:space="preserve">ym jest </w:t>
      </w:r>
      <w:r w:rsidR="005B2E2A">
        <w:t xml:space="preserve">identyfikacja </w:t>
      </w:r>
      <w:r>
        <w:t>par w oparciu o metrykę eukli</w:t>
      </w:r>
      <w:r w:rsidR="00F0590A">
        <w:t>d</w:t>
      </w:r>
      <w:r>
        <w:t>esową</w:t>
      </w:r>
      <w:r w:rsidR="00F0590A">
        <w:t xml:space="preserve">. W rocznym okresie historycznym pomiędzy wybranymi akcji liczona </w:t>
      </w:r>
      <w:r w:rsidR="005B2E2A">
        <w:t>jest</w:t>
      </w:r>
      <w:r w:rsidR="00F0590A">
        <w:t xml:space="preserve"> sum</w:t>
      </w:r>
      <w:r w:rsidR="005B2E2A">
        <w:t>a</w:t>
      </w:r>
      <w:r w:rsidR="00F0590A">
        <w:t xml:space="preserve"> kwadratów odchyleń dla skumulowanych zwrotów dla każdej możliwej pary akcji.</w:t>
      </w:r>
    </w:p>
    <w:p w14:paraId="47C3C43F" w14:textId="77777777" w:rsidR="008705C4" w:rsidRDefault="008705C4" w:rsidP="00F0590A">
      <w:pPr>
        <w:ind w:firstLine="0"/>
      </w:pPr>
    </w:p>
    <w:p w14:paraId="5CDA606C" w14:textId="31E93B1B" w:rsidR="008705C4" w:rsidRDefault="008705C4" w:rsidP="006A1FAA">
      <w:commentRangeStart w:id="23"/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cum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cum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cum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cum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Theme="minorEastAsia" w:hAnsi="Cambria Math"/>
            </w:rPr>
            <m:t>,  dla 1 ≤i &lt;j ≤T</m:t>
          </m:r>
          <w:commentRangeEnd w:id="23"/>
          <m:r>
            <m:rPr>
              <m:sty m:val="p"/>
            </m:rPr>
            <w:rPr>
              <w:rStyle w:val="CommentReference"/>
            </w:rPr>
            <w:commentReference w:id="23"/>
          </m:r>
        </m:oMath>
      </m:oMathPara>
    </w:p>
    <w:p w14:paraId="15216A8D" w14:textId="246AB9F1" w:rsidR="00181533" w:rsidRDefault="00384B83" w:rsidP="00384B83">
      <w:pPr>
        <w:pStyle w:val="Pierwszyakapit"/>
      </w:pPr>
      <w:r>
        <w:t>Gdzie:</w:t>
      </w:r>
    </w:p>
    <w:p w14:paraId="27240A34" w14:textId="1A16BA15" w:rsidR="00384B83" w:rsidRDefault="00000000" w:rsidP="00384B83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</m:oMath>
      <w:r w:rsidR="00384B83">
        <w:rPr>
          <w:rFonts w:eastAsiaTheme="minorEastAsia"/>
        </w:rPr>
        <w:t xml:space="preserve"> – zwroty skumulowane i-tej spółki</w:t>
      </w:r>
    </w:p>
    <w:p w14:paraId="45656A8D" w14:textId="0C2CBEC5" w:rsidR="00384B83" w:rsidRPr="00384B83" w:rsidRDefault="00000000" w:rsidP="00384B83">
      <w:pPr>
        <w:ind w:firstLine="0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</m:oMath>
      <w:r w:rsidR="00384B83">
        <w:rPr>
          <w:rFonts w:eastAsiaTheme="minorEastAsia"/>
        </w:rPr>
        <w:t xml:space="preserve"> – zwroty skumulowane j-tej spółki</w:t>
      </w:r>
    </w:p>
    <w:p w14:paraId="27823F09" w14:textId="590E5573" w:rsidR="009D4F68" w:rsidRDefault="003526FB" w:rsidP="006A1FAA">
      <w:r>
        <w:t>Spośród nich wybiera</w:t>
      </w:r>
      <w:r w:rsidR="00F0590A">
        <w:t>ne jest</w:t>
      </w:r>
      <w:r>
        <w:t xml:space="preserve"> </w:t>
      </w:r>
      <w:commentRangeStart w:id="24"/>
      <w:r>
        <w:t>1</w:t>
      </w:r>
      <w:r w:rsidR="00F0590A">
        <w:t>2</w:t>
      </w:r>
      <w:r>
        <w:t xml:space="preserve">0 </w:t>
      </w:r>
      <w:r w:rsidR="00181533">
        <w:t>par</w:t>
      </w:r>
      <w:commentRangeEnd w:id="24"/>
      <w:r w:rsidR="0092316B">
        <w:rPr>
          <w:rStyle w:val="CommentReference"/>
        </w:rPr>
        <w:commentReference w:id="24"/>
      </w:r>
      <w:r w:rsidR="00181533">
        <w:t xml:space="preserve">, dla których dystans między wektorami zwrotów jest najmniejszy. </w:t>
      </w:r>
      <w:r w:rsidR="00B733D8">
        <w:t xml:space="preserve">Tym sposobem </w:t>
      </w:r>
      <w:r w:rsidR="00F0590A">
        <w:t>zebrane są akcje, których ceny są sobie najbliższe. Na podstawie okresu formacyjnego liczona jest też średnia oraz odchylenia standardowe</w:t>
      </w:r>
      <w:r w:rsidR="004B3595">
        <w:t xml:space="preserve"> różnic skumulowanych zwrotów z akcji</w:t>
      </w:r>
      <w:r w:rsidR="00F0590A">
        <w:t>.</w:t>
      </w:r>
    </w:p>
    <w:p w14:paraId="404994F9" w14:textId="77777777" w:rsidR="00E31BCB" w:rsidRDefault="00E31BCB" w:rsidP="006A1FAA"/>
    <w:p w14:paraId="6F8AE883" w14:textId="3FCD0E25" w:rsidR="00F0590A" w:rsidRDefault="00000000" w:rsidP="00E31BCB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ij,t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</m:oMath>
      </m:oMathPara>
    </w:p>
    <w:commentRangeStart w:id="25"/>
    <w:p w14:paraId="07E4DB41" w14:textId="6910303A" w:rsidR="00F0590A" w:rsidRPr="001F0071" w:rsidRDefault="00000000" w:rsidP="00F0590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ij,t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w:commentRangeEnd w:id="25"/>
          <m:r>
            <m:rPr>
              <m:sty m:val="p"/>
            </m:rPr>
            <w:rPr>
              <w:rStyle w:val="CommentReference"/>
            </w:rPr>
            <w:commentReference w:id="25"/>
          </m:r>
        </m:oMath>
      </m:oMathPara>
    </w:p>
    <w:p w14:paraId="0FDB9958" w14:textId="5D78CCD5" w:rsidR="001F0071" w:rsidRPr="004B3595" w:rsidRDefault="00000000" w:rsidP="00F0590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ij,t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e>
          </m:nary>
        </m:oMath>
      </m:oMathPara>
    </w:p>
    <w:p w14:paraId="57F85FA8" w14:textId="77777777" w:rsidR="004B3595" w:rsidRDefault="004B3595" w:rsidP="00F0590A">
      <w:pPr>
        <w:jc w:val="center"/>
        <w:rPr>
          <w:rFonts w:eastAsiaTheme="minorEastAsia"/>
        </w:rPr>
      </w:pPr>
    </w:p>
    <w:p w14:paraId="6ED138A1" w14:textId="4B3BA3D9" w:rsidR="004B3595" w:rsidRDefault="00561360" w:rsidP="004B3595">
      <w:pPr>
        <w:pStyle w:val="Pierwszyakapit"/>
      </w:pPr>
      <w:r>
        <w:t>g</w:t>
      </w:r>
      <w:r w:rsidR="004B3595">
        <w:t>dzie:</w:t>
      </w:r>
    </w:p>
    <w:p w14:paraId="52D38A3E" w14:textId="196F20E9" w:rsidR="004B3595" w:rsidRPr="004B3595" w:rsidRDefault="00000000" w:rsidP="004B3595">
      <w:pPr>
        <w:pStyle w:val="Pierwszyakapi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ij,t</m:t>
            </m:r>
          </m:sub>
        </m:sSub>
      </m:oMath>
      <w:r w:rsidR="004B3595">
        <w:rPr>
          <w:rFonts w:eastAsiaTheme="minorEastAsia"/>
        </w:rPr>
        <w:t xml:space="preserve"> – różnica skumulowanych zwrotów</w:t>
      </w:r>
    </w:p>
    <w:p w14:paraId="268A3380" w14:textId="49EA5271" w:rsidR="00BF4279" w:rsidRDefault="00000000" w:rsidP="004B3595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B3595">
        <w:rPr>
          <w:rFonts w:eastAsiaTheme="minorEastAsia"/>
        </w:rPr>
        <w:t xml:space="preserve"> – średnia różnicy skumulowanych zwrotów w okresie formacyjnym</w:t>
      </w:r>
    </w:p>
    <w:p w14:paraId="160598AD" w14:textId="75FF31F9" w:rsidR="004B3595" w:rsidRDefault="00000000" w:rsidP="004B3595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B3595">
        <w:rPr>
          <w:rFonts w:eastAsiaTheme="minorEastAsia"/>
        </w:rPr>
        <w:t xml:space="preserve"> – odchylenie standardowe skumulowanych zwrotów w okresie formacyjnym</w:t>
      </w:r>
    </w:p>
    <w:p w14:paraId="108CC612" w14:textId="38658FDE" w:rsidR="004B3595" w:rsidRDefault="004B3595" w:rsidP="004B3595"/>
    <w:p w14:paraId="43380F2A" w14:textId="2CE7D905" w:rsidR="004B3595" w:rsidRDefault="004B3595" w:rsidP="004B3595">
      <w:r>
        <w:t>Po okresie formacyjnym mamy do czynienia z okresem handl</w:t>
      </w:r>
      <w:r w:rsidR="006B4C78">
        <w:t>owym</w:t>
      </w:r>
      <w:r w:rsidR="00561360">
        <w:t>,</w:t>
      </w:r>
      <w:r w:rsidR="006B4C78">
        <w:t xml:space="preserve"> trwającym pół roku. Jest to moment tworzenia flag do zakładania pozycji. Reguły decyzyjne są proste:</w:t>
      </w:r>
    </w:p>
    <w:p w14:paraId="0B816FD2" w14:textId="6A8F325F" w:rsidR="006B4C78" w:rsidRPr="006B4C78" w:rsidRDefault="006B4C78" w:rsidP="006B4C78">
      <w:pPr>
        <w:pStyle w:val="ListParagraph"/>
        <w:numPr>
          <w:ilvl w:val="0"/>
          <w:numId w:val="26"/>
        </w:numPr>
      </w:pPr>
      <w:r>
        <w:t xml:space="preserve">Jeżeli różnica skumulowanych zwrotów </w:t>
      </w:r>
      <w:r w:rsidR="001138AD">
        <w:t>oraz</w:t>
      </w:r>
      <w:r>
        <w:t xml:space="preserve"> średniej historycznej </w:t>
      </w:r>
      <w:r w:rsidR="001138AD">
        <w:t xml:space="preserve">przekracza </w:t>
      </w:r>
      <w:r>
        <w:t>2 historyczne odchylenia standardowe, wtedy załóż pozycję długą na drugie aktywo a na pierwsze załóż pozycję krótką</w:t>
      </w:r>
    </w:p>
    <w:p w14:paraId="590D4182" w14:textId="2EEE706C" w:rsidR="006B4C78" w:rsidRPr="00F15894" w:rsidRDefault="006B4C78" w:rsidP="006B4C78">
      <w:pPr>
        <w:pStyle w:val="ListParagraph"/>
        <w:numPr>
          <w:ilvl w:val="0"/>
          <w:numId w:val="26"/>
        </w:numPr>
      </w:pPr>
      <w:r>
        <w:t xml:space="preserve">Jeżeli różnica skumulowanych zwrotów </w:t>
      </w:r>
      <w:r w:rsidR="00B31F45">
        <w:t>oraz</w:t>
      </w:r>
      <w:r>
        <w:t xml:space="preserve"> średniej historycznej </w:t>
      </w:r>
      <w:r w:rsidR="00B31F45">
        <w:t xml:space="preserve">przekracza </w:t>
      </w:r>
      <w:r>
        <w:t>2 historyczne odchylenia standardowe, załóż pozycję długą na pierwsze aktywo i krótką na drugie</w:t>
      </w:r>
    </w:p>
    <w:p w14:paraId="76BFDC29" w14:textId="74A01C9E" w:rsidR="00F15894" w:rsidRPr="00F15894" w:rsidRDefault="00F15894" w:rsidP="006B4C78">
      <w:pPr>
        <w:pStyle w:val="ListParagraph"/>
        <w:numPr>
          <w:ilvl w:val="0"/>
          <w:numId w:val="26"/>
        </w:numPr>
      </w:pPr>
      <w:r>
        <w:t>Zamknij pozycje w momencie gdy różnica skumulowanych zwrotów wróci do średniej historycznej</w:t>
      </w:r>
    </w:p>
    <w:p w14:paraId="697A3A59" w14:textId="6ECB000A" w:rsidR="00F15894" w:rsidRPr="006B4C78" w:rsidRDefault="00F15894" w:rsidP="006B4C78">
      <w:pPr>
        <w:pStyle w:val="ListParagraph"/>
        <w:numPr>
          <w:ilvl w:val="0"/>
          <w:numId w:val="26"/>
        </w:numPr>
      </w:pPr>
      <w:r>
        <w:t xml:space="preserve">Jeżeli różnice nie zbiegną się do średniej historycznej do końca okresu handlowego to zamknij pozycje ostatniego dnia </w:t>
      </w:r>
    </w:p>
    <w:p w14:paraId="0CB78B72" w14:textId="77777777" w:rsidR="006B4C78" w:rsidRDefault="006B4C78" w:rsidP="006B4C78"/>
    <w:p w14:paraId="64C3D271" w14:textId="77777777" w:rsidR="00C1609A" w:rsidRDefault="00C1609A" w:rsidP="006B4C78">
      <w:r>
        <w:t>Skalę odchyleń najlepiej można wyrazić za pomocą z-scora, wskaźnika liczącego liczbę odchyleń standardowych od średniej.</w:t>
      </w:r>
    </w:p>
    <w:p w14:paraId="4231FBB1" w14:textId="77777777" w:rsidR="00C1609A" w:rsidRDefault="00C1609A" w:rsidP="006B4C78"/>
    <w:p w14:paraId="5FB9DAAE" w14:textId="5A4B63CD" w:rsidR="006B4C78" w:rsidRPr="00F15894" w:rsidRDefault="00000000" w:rsidP="00C1609A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z_score</m:t>
              </m:r>
            </m:e>
            <m:sub>
              <m:r>
                <w:rPr>
                  <w:rFonts w:ascii="Cambria Math" w:hAnsi="Cambria Math"/>
                </w:rPr>
                <m:t>ij,t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ij,t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</m:oMath>
      </m:oMathPara>
    </w:p>
    <w:p w14:paraId="772C76A3" w14:textId="77777777" w:rsidR="00F15894" w:rsidRPr="00F15894" w:rsidRDefault="00F15894" w:rsidP="00C1609A">
      <w:pPr>
        <w:jc w:val="center"/>
        <w:rPr>
          <w:rFonts w:eastAsiaTheme="minorEastAsia"/>
        </w:rPr>
      </w:pPr>
    </w:p>
    <w:p w14:paraId="644A4D6C" w14:textId="7B4936C9" w:rsidR="006B0C68" w:rsidRDefault="00F15894" w:rsidP="00F15894">
      <w:r>
        <w:t xml:space="preserve">Strategia </w:t>
      </w:r>
      <w:r w:rsidR="00040172">
        <w:t xml:space="preserve">ta </w:t>
      </w:r>
      <w:r>
        <w:t xml:space="preserve">została przetestowana </w:t>
      </w:r>
      <w:r w:rsidR="00040172">
        <w:t xml:space="preserve">przez Gateva </w:t>
      </w:r>
      <w:r>
        <w:t>na danych z lat 1962 – 1997 w 1999 roku (Gatev,1999</w:t>
      </w:r>
      <w:r w:rsidR="00EF0983">
        <w:t>, s. 15-20</w:t>
      </w:r>
      <w:r>
        <w:t>). Co każdy miesiąc liczone były okresy formacyjne rok wcześniej oraz okresy handlowe pół roku później</w:t>
      </w:r>
      <w:r w:rsidR="006B0C68">
        <w:t xml:space="preserve">. </w:t>
      </w:r>
    </w:p>
    <w:p w14:paraId="527749AC" w14:textId="77777777" w:rsidR="006B0C68" w:rsidRDefault="006B0C68" w:rsidP="00F15894"/>
    <w:p w14:paraId="1EB6103F" w14:textId="0C5BA72B" w:rsidR="00105A7F" w:rsidRDefault="006B0C68" w:rsidP="00F15894">
      <w:r>
        <w:lastRenderedPageBreak/>
        <w:t>Strategia wygenerowała średnio 5% nadzwyczajnych zwrotów dla 5 par o najniższej metryce euklidesowej, 6% dla 20 najlepszych par, ale już dla wszystkich par średnie nadzwyczajne zwroty wynosiły 4%. Eksperyment został powtórzony „out of sample” w 2006 roku (Gatev, 2006</w:t>
      </w:r>
      <w:r w:rsidR="00EF0983">
        <w:t>, s. 20-30</w:t>
      </w:r>
      <w:r>
        <w:t xml:space="preserve">). </w:t>
      </w:r>
      <w:r w:rsidR="00E3733F">
        <w:t xml:space="preserve">Szereg czasowy został wydłużony do 2002 roku. W tej sytuacji zwroty ze strategii zaliczyły spadek do 1,3% średniego nadwyżkowego zwrotu dla 5 najlepszych par, 1,4% dla 20 najlepszych par oraz 1,1%  dla wszystkich. Dodanie zaledwie 5 badanych lat sprawiło 4-krotny spadek zwrotów nadwyżkowych. </w:t>
      </w:r>
      <w:r w:rsidR="00105A7F">
        <w:t>Pomimo tego strategia dalej utrzymuje pozytywne zwroty, a jej Sharpe jest między 4 a 6 razy większy od rynkowego.</w:t>
      </w:r>
    </w:p>
    <w:p w14:paraId="3229667E" w14:textId="77777777" w:rsidR="00105A7F" w:rsidRDefault="00105A7F" w:rsidP="00F15894"/>
    <w:p w14:paraId="662E881B" w14:textId="16F8D083" w:rsidR="00F15894" w:rsidRDefault="00105A7F" w:rsidP="00F15894">
      <w:r>
        <w:t xml:space="preserve">W 2024 roku strategia została zreplikowana </w:t>
      </w:r>
      <w:r w:rsidR="0089199B">
        <w:t xml:space="preserve">przez </w:t>
      </w:r>
      <w:r>
        <w:t xml:space="preserve">Zhu </w:t>
      </w:r>
      <w:r w:rsidR="0089199B">
        <w:t>(</w:t>
      </w:r>
      <w:r>
        <w:t>2024</w:t>
      </w:r>
      <w:r w:rsidR="00EF0983">
        <w:t>, s. 10-20</w:t>
      </w:r>
      <w:r>
        <w:t>) na danych w okresie 200</w:t>
      </w:r>
      <w:r w:rsidR="00A059F4">
        <w:t>3</w:t>
      </w:r>
      <w:r>
        <w:t xml:space="preserve"> oraz 202</w:t>
      </w:r>
      <w:r w:rsidR="00A059F4">
        <w:t xml:space="preserve">3. </w:t>
      </w:r>
      <w:r w:rsidR="0089199B">
        <w:t>Autor w</w:t>
      </w:r>
      <w:r w:rsidR="00A059F4">
        <w:t>ykazał</w:t>
      </w:r>
      <w:r w:rsidR="003742CB">
        <w:t xml:space="preserve"> średnie zwroty na poziomie 4.5% w badanym okresie dla pierwszych 20, 100 oraz 500 par (w tym ostatnim przypadku nawet prawie 5% średni zwrotów). Wraz z większym zakresem par r</w:t>
      </w:r>
      <w:r w:rsidR="00D532A2">
        <w:t>ósł również Sharpe</w:t>
      </w:r>
      <w:r w:rsidR="00833A8F">
        <w:t>,</w:t>
      </w:r>
      <w:r w:rsidR="00D532A2">
        <w:t xml:space="preserve"> z 0.81 przy 20 parach do 1.345.</w:t>
      </w:r>
    </w:p>
    <w:p w14:paraId="2CBE8308" w14:textId="77777777" w:rsidR="00D532A2" w:rsidRDefault="00D532A2" w:rsidP="00F15894"/>
    <w:p w14:paraId="067514CF" w14:textId="5E47243C" w:rsidR="006169ED" w:rsidRDefault="00833A8F" w:rsidP="00F15894">
      <w:r>
        <w:t>Inne wyniki uzyskał</w:t>
      </w:r>
      <w:r w:rsidR="00D532A2">
        <w:t xml:space="preserve"> Rubesam (2021), który na 20 parach wykazał spadające zwroty między 2003 a 2009 na poziomie 0.6%</w:t>
      </w:r>
      <w:r w:rsidR="006217FF">
        <w:t>,</w:t>
      </w:r>
      <w:r w:rsidR="005B1C6C">
        <w:t xml:space="preserve"> </w:t>
      </w:r>
      <w:r w:rsidR="006217FF">
        <w:t>a  po 2009 już zaledwie 0.04%. Dodatkowo w okresie Covidu wykazuje ujemne zwroty na poziomie -0.01%. Pokazuje to że skuteczność strategii w czasie nie jest jednoznaczna i może się znacząco różnić w zależności od dobranych okresów i wybranych par.</w:t>
      </w:r>
    </w:p>
    <w:p w14:paraId="0E439829" w14:textId="2427A75E" w:rsidR="006217FF" w:rsidRDefault="006169ED" w:rsidP="006169ED">
      <w:pPr>
        <w:spacing w:after="160" w:line="259" w:lineRule="auto"/>
        <w:ind w:firstLine="0"/>
        <w:jc w:val="left"/>
      </w:pPr>
      <w:r>
        <w:br w:type="page"/>
      </w:r>
    </w:p>
    <w:p w14:paraId="3F1740A4" w14:textId="289B4FCD" w:rsidR="006217FF" w:rsidRDefault="00E534C4" w:rsidP="006217FF">
      <w:pPr>
        <w:pStyle w:val="Heading3"/>
      </w:pPr>
      <w:r>
        <w:lastRenderedPageBreak/>
        <w:t>Podejście</w:t>
      </w:r>
      <w:r w:rsidR="006217FF">
        <w:t xml:space="preserve"> Kointegracyjn</w:t>
      </w:r>
      <w:r>
        <w:t>e</w:t>
      </w:r>
    </w:p>
    <w:p w14:paraId="2F4FC4B1" w14:textId="178917FB" w:rsidR="00C93B4D" w:rsidRDefault="001476C2" w:rsidP="00297004">
      <w:pPr>
        <w:ind w:firstLine="0"/>
      </w:pPr>
      <w:r>
        <w:t>W tym przypadku m</w:t>
      </w:r>
      <w:r w:rsidR="00297004">
        <w:t xml:space="preserve">etoda </w:t>
      </w:r>
      <w:r w:rsidR="006435B3">
        <w:t xml:space="preserve">polega na </w:t>
      </w:r>
      <w:r w:rsidR="009E0F6F">
        <w:t>wprowadzeni</w:t>
      </w:r>
      <w:r w:rsidR="006435B3">
        <w:t>u</w:t>
      </w:r>
      <w:r w:rsidR="009E0F6F">
        <w:t xml:space="preserve"> kryterium kointegracji przy selekcji par (Rad, 2016</w:t>
      </w:r>
      <w:r w:rsidR="00EF0983">
        <w:t>, s. 4-20</w:t>
      </w:r>
      <w:r w:rsidR="005B1C6C">
        <w:t xml:space="preserve">; </w:t>
      </w:r>
      <w:r w:rsidR="009E0F6F">
        <w:t>Vidyamurthy, 2004</w:t>
      </w:r>
      <w:r w:rsidR="00EF0983">
        <w:t>, s. 139-149</w:t>
      </w:r>
      <w:r w:rsidR="009E0F6F">
        <w:t>).</w:t>
      </w:r>
      <w:r w:rsidR="00C93B4D">
        <w:t xml:space="preserve"> Szeregi czasowe skumulowanych zwrotów są zwykle niestacjonarne, </w:t>
      </w:r>
      <w:r>
        <w:t>ale stają się</w:t>
      </w:r>
      <w:r w:rsidR="00C93B4D">
        <w:t xml:space="preserve"> stacjonarne po pierwszym różnicowaniu. Jeżeli dwa szeregi X</w:t>
      </w:r>
      <w:r w:rsidR="00C93B4D">
        <w:rPr>
          <w:vertAlign w:val="subscript"/>
        </w:rPr>
        <w:t xml:space="preserve">1,t </w:t>
      </w:r>
      <w:r w:rsidR="00C93B4D">
        <w:t>i X</w:t>
      </w:r>
      <w:r w:rsidR="00C93B4D">
        <w:rPr>
          <w:vertAlign w:val="subscript"/>
        </w:rPr>
        <w:t>2,t</w:t>
      </w:r>
      <w:r w:rsidR="00C93B4D">
        <w:t xml:space="preserve"> są I(1) </w:t>
      </w:r>
      <w:commentRangeStart w:id="26"/>
      <w:r w:rsidR="00C93B4D">
        <w:t>to są one skointegrowane jeżeli istnieje tak</w:t>
      </w:r>
      <w:r w:rsidR="003263FC">
        <w:t>ie</w:t>
      </w:r>
      <w:r w:rsidR="00C93B4D">
        <w:t xml:space="preserve"> </w:t>
      </w:r>
      <w:r w:rsidR="00C93B4D">
        <w:rPr>
          <w:rFonts w:cs="Times New Roman"/>
        </w:rPr>
        <w:t>β</w:t>
      </w:r>
      <w:r w:rsidR="00C93B4D">
        <w:t xml:space="preserve"> że:</w:t>
      </w:r>
    </w:p>
    <w:p w14:paraId="11C7AADD" w14:textId="77777777" w:rsidR="00C93B4D" w:rsidRDefault="00C93B4D" w:rsidP="00297004">
      <w:pPr>
        <w:ind w:firstLine="0"/>
      </w:pPr>
    </w:p>
    <w:p w14:paraId="28CA945C" w14:textId="05A7BB07" w:rsidR="006A1FAA" w:rsidRPr="00B73EC3" w:rsidRDefault="00000000" w:rsidP="00C93B4D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1,t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βX</m:t>
              </m:r>
            </m:e>
            <m:sub>
              <m:r>
                <w:rPr>
                  <w:rFonts w:ascii="Cambria Math" w:hAnsi="Cambria Math"/>
                </w:rPr>
                <m:t>2,t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C11A343" w14:textId="0169B6AE" w:rsidR="00B73EC3" w:rsidRDefault="00E22532" w:rsidP="00B73EC3">
      <w:pPr>
        <w:pStyle w:val="Pierwszyakapit"/>
      </w:pPr>
      <w:r>
        <w:t>g</w:t>
      </w:r>
      <w:r w:rsidR="00B73EC3">
        <w:t>dzie:</w:t>
      </w:r>
    </w:p>
    <w:p w14:paraId="698DF6A8" w14:textId="143B94A1" w:rsidR="00B73EC3" w:rsidRDefault="00000000" w:rsidP="00B73EC3">
      <w:pPr>
        <w:pStyle w:val="Pierwszyakapi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73EC3">
        <w:rPr>
          <w:rFonts w:eastAsiaTheme="minorEastAsia"/>
        </w:rPr>
        <w:t xml:space="preserve"> – </w:t>
      </w:r>
      <w:r w:rsidR="004D6ED4">
        <w:rPr>
          <w:rFonts w:eastAsiaTheme="minorEastAsia"/>
        </w:rPr>
        <w:t>reszty kointegracji</w:t>
      </w:r>
      <w:commentRangeEnd w:id="26"/>
      <w:r w:rsidR="00E22532">
        <w:rPr>
          <w:rStyle w:val="CommentReference"/>
        </w:rPr>
        <w:commentReference w:id="26"/>
      </w:r>
    </w:p>
    <w:p w14:paraId="1FCFE7A1" w14:textId="77777777" w:rsidR="00B73EC3" w:rsidRDefault="00B73EC3" w:rsidP="00B73EC3"/>
    <w:p w14:paraId="43F02A42" w14:textId="280DE77F" w:rsidR="00B73EC3" w:rsidRDefault="00B73EC3" w:rsidP="00B73EC3">
      <w:r>
        <w:t xml:space="preserve">Relacja kointegracyjna może być </w:t>
      </w:r>
      <w:r w:rsidR="004D6ED4">
        <w:t xml:space="preserve">dodatkowo rozszerzona </w:t>
      </w:r>
      <w:r w:rsidR="00B6059D">
        <w:t xml:space="preserve">poprzez budowę </w:t>
      </w:r>
      <w:r>
        <w:t>modelu ECM</w:t>
      </w:r>
      <w:r w:rsidR="004D6ED4">
        <w:t xml:space="preserve"> (Error Correction Model)</w:t>
      </w:r>
      <w:r>
        <w:t>, czyli modelu korekty błędów</w:t>
      </w:r>
      <w:r w:rsidR="004D6ED4">
        <w:t xml:space="preserve"> (Engle i Granger 1987</w:t>
      </w:r>
      <w:r w:rsidR="00EF0983">
        <w:t>, s. 254-270</w:t>
      </w:r>
      <w:r w:rsidR="004D6ED4">
        <w:t>). Wynika z niego że skointegrowane szeregi, wykazują</w:t>
      </w:r>
      <w:r w:rsidR="003263FC">
        <w:t>ce</w:t>
      </w:r>
      <w:r w:rsidR="004D6ED4">
        <w:t xml:space="preserve"> długookresową równowagę, mogą się cechować krótkookresowymi odchyleniami</w:t>
      </w:r>
      <w:r w:rsidR="003263FC">
        <w:t>, które w czasie są korygowane. Relację tą można zapisać jako:</w:t>
      </w:r>
    </w:p>
    <w:p w14:paraId="1BA4C48F" w14:textId="77777777" w:rsidR="003263FC" w:rsidRDefault="003263FC" w:rsidP="00B73EC3"/>
    <w:p w14:paraId="1E63B249" w14:textId="26F81827" w:rsidR="003263FC" w:rsidRDefault="00000000" w:rsidP="003263FC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1,t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2,t-1</m:t>
                </m:r>
              </m:sub>
            </m:sSub>
            <m:r>
              <w:rPr>
                <w:rFonts w:ascii="Cambria Math" w:eastAsiaTheme="minorEastAsia" w:hAnsi="Cambria Math"/>
              </w:rPr>
              <m:t>- β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1,t-1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2,t</m:t>
                </m:r>
              </m:sub>
            </m:sSub>
          </m:sub>
        </m:sSub>
      </m:oMath>
      <w:r w:rsidR="003263FC">
        <w:rPr>
          <w:rFonts w:eastAsiaTheme="minorEastAsia"/>
        </w:rPr>
        <w:t xml:space="preserve">  </w:t>
      </w:r>
    </w:p>
    <w:p w14:paraId="6083F5A7" w14:textId="4B773704" w:rsidR="003263FC" w:rsidRPr="003263FC" w:rsidRDefault="00000000" w:rsidP="003263FC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2,t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2,t-1</m:t>
                </m:r>
              </m:sub>
            </m:sSub>
            <m:r>
              <w:rPr>
                <w:rFonts w:ascii="Cambria Math" w:eastAsiaTheme="minorEastAsia" w:hAnsi="Cambria Math"/>
              </w:rPr>
              <m:t>- β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1,t-1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1,t</m:t>
                </m:r>
              </m:sub>
            </m:sSub>
          </m:sub>
        </m:sSub>
      </m:oMath>
      <w:r w:rsidR="003263FC">
        <w:rPr>
          <w:rFonts w:eastAsiaTheme="minorEastAsia"/>
        </w:rPr>
        <w:t xml:space="preserve">  </w:t>
      </w:r>
    </w:p>
    <w:p w14:paraId="40FDD704" w14:textId="3876B72C" w:rsidR="00C03915" w:rsidRDefault="00BF0CAC" w:rsidP="00C03915">
      <w:r>
        <w:t>g</w:t>
      </w:r>
      <w:r w:rsidR="00C03915">
        <w:t>dzie:</w:t>
      </w:r>
    </w:p>
    <w:p w14:paraId="1172226F" w14:textId="6E330145" w:rsidR="00C03915" w:rsidRDefault="00000000" w:rsidP="00C03915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C03915">
        <w:rPr>
          <w:rFonts w:eastAsiaTheme="minorEastAsia"/>
        </w:rPr>
        <w:t xml:space="preserve"> – przyrost szeregu czasowego i w momencie t</w:t>
      </w:r>
    </w:p>
    <w:p w14:paraId="53E60806" w14:textId="70FFAA72" w:rsidR="00C03915" w:rsidRDefault="00000000" w:rsidP="001C4E32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 w:rsidR="00C03915">
        <w:rPr>
          <w:rFonts w:eastAsiaTheme="minorEastAsia"/>
        </w:rPr>
        <w:t xml:space="preserve"> – siła korekty krótkookresowego odchylenia dla i-tego szeregu czasowego</w:t>
      </w:r>
    </w:p>
    <w:p w14:paraId="3DA6495F" w14:textId="3891C304" w:rsidR="001C4E32" w:rsidRDefault="001C4E32" w:rsidP="0057265A">
      <w:pPr>
        <w:ind w:firstLine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</m:t>
        </m:r>
      </m:oMath>
      <w:r>
        <w:rPr>
          <w:rFonts w:eastAsiaTheme="minorEastAsia"/>
        </w:rPr>
        <w:t xml:space="preserve"> – współczynnik długookresowej relacji równowagowej między </w:t>
      </w:r>
      <w:r w:rsidR="0057265A">
        <w:rPr>
          <w:rFonts w:eastAsiaTheme="minorEastAsia"/>
        </w:rPr>
        <w:t>szeregami czasowymi</w:t>
      </w:r>
    </w:p>
    <w:p w14:paraId="4AD7BA79" w14:textId="77777777" w:rsidR="0057265A" w:rsidRDefault="00000000" w:rsidP="0057265A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i,t</m:t>
                </m:r>
              </m:sub>
            </m:sSub>
          </m:sub>
        </m:sSub>
      </m:oMath>
      <w:r w:rsidR="0057265A">
        <w:rPr>
          <w:rFonts w:eastAsiaTheme="minorEastAsia"/>
        </w:rPr>
        <w:t xml:space="preserve"> – biały szum dla i-tego szeregu czasowego</w:t>
      </w:r>
    </w:p>
    <w:p w14:paraId="5DB7AD64" w14:textId="77777777" w:rsidR="0057265A" w:rsidRDefault="0057265A" w:rsidP="0057265A">
      <w:pPr>
        <w:ind w:firstLine="0"/>
        <w:rPr>
          <w:rFonts w:eastAsiaTheme="minorEastAsia"/>
        </w:rPr>
      </w:pPr>
    </w:p>
    <w:p w14:paraId="2B7DA915" w14:textId="4614552A" w:rsidR="0007746C" w:rsidRDefault="0057265A" w:rsidP="0007746C">
      <w:pPr>
        <w:rPr>
          <w:rFonts w:eastAsiaTheme="minorEastAsia"/>
        </w:rPr>
      </w:pPr>
      <w:commentRangeStart w:id="27"/>
      <w:r>
        <w:t xml:space="preserve">Kluczowym elementem jest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2,t-1</m:t>
                </m:r>
              </m:sub>
            </m:sSub>
            <m:r>
              <w:rPr>
                <w:rFonts w:ascii="Cambria Math" w:hAnsi="Cambria Math"/>
              </w:rPr>
              <m:t>- β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1,t-1</m:t>
                </m:r>
              </m:sub>
            </m:sSub>
          </m:e>
        </m:d>
      </m:oMath>
      <w:r>
        <w:t>, czyli tak zwany składnik korekty błędów</w:t>
      </w:r>
      <w:r w:rsidR="0007746C">
        <w:t xml:space="preserve">. Może być on podzielony na siłę korekty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07746C">
        <w:rPr>
          <w:rFonts w:eastAsiaTheme="minorEastAsia"/>
        </w:rPr>
        <w:t xml:space="preserve"> jak i samą relację kointegracyjną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2,t-1</m:t>
            </m:r>
          </m:sub>
        </m:sSub>
        <m:r>
          <w:rPr>
            <w:rFonts w:ascii="Cambria Math" w:hAnsi="Cambria Math"/>
          </w:rPr>
          <m:t>- β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1,t-1</m:t>
            </m:r>
          </m:sub>
        </m:sSub>
      </m:oMath>
      <w:r w:rsidR="0007746C">
        <w:rPr>
          <w:rFonts w:eastAsiaTheme="minorEastAsia"/>
        </w:rPr>
        <w:t>.</w:t>
      </w:r>
      <w:r w:rsidR="001E03F3">
        <w:rPr>
          <w:rFonts w:eastAsiaTheme="minorEastAsia"/>
        </w:rPr>
        <w:t xml:space="preserve"> R</w:t>
      </w:r>
      <w:r w:rsidR="0007746C">
        <w:rPr>
          <w:rFonts w:eastAsiaTheme="minorEastAsia"/>
        </w:rPr>
        <w:t>óżnicę między cenami/skumulowanymi zwrotami</w:t>
      </w:r>
      <w:r w:rsidR="006D236E">
        <w:rPr>
          <w:rFonts w:eastAsiaTheme="minorEastAsia"/>
        </w:rPr>
        <w:t xml:space="preserve"> w ramach strategii Pairs Trading</w:t>
      </w:r>
      <w:r w:rsidR="0007746C">
        <w:rPr>
          <w:rFonts w:eastAsiaTheme="minorEastAsia"/>
        </w:rPr>
        <w:t xml:space="preserve"> jako</w:t>
      </w:r>
      <w:r w:rsidR="006D236E">
        <w:rPr>
          <w:rFonts w:eastAsiaTheme="minorEastAsia"/>
        </w:rPr>
        <w:t>:</w:t>
      </w:r>
      <w:commentRangeEnd w:id="27"/>
      <w:r w:rsidR="00BF0CAC">
        <w:rPr>
          <w:rStyle w:val="CommentReference"/>
        </w:rPr>
        <w:commentReference w:id="27"/>
      </w:r>
    </w:p>
    <w:p w14:paraId="4E09D160" w14:textId="77777777" w:rsidR="0007746C" w:rsidRDefault="0007746C" w:rsidP="0007746C">
      <w:pPr>
        <w:rPr>
          <w:rFonts w:eastAsiaTheme="minorEastAsia"/>
        </w:rPr>
      </w:pPr>
    </w:p>
    <w:p w14:paraId="143C37DE" w14:textId="7ABB9390" w:rsidR="0057265A" w:rsidRDefault="00000000" w:rsidP="006D236E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2,t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  <m:r>
          <w:rPr>
            <w:rFonts w:ascii="Cambria Math" w:hAnsi="Cambria Math"/>
          </w:rPr>
          <m:t>- β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1,t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</m:oMath>
      <w:r w:rsidR="0007746C">
        <w:rPr>
          <w:rFonts w:eastAsiaTheme="minorEastAsia"/>
        </w:rPr>
        <w:t xml:space="preserve"> </w:t>
      </w:r>
    </w:p>
    <w:p w14:paraId="361FC9A6" w14:textId="77777777" w:rsidR="006D236E" w:rsidRDefault="006D236E" w:rsidP="006D236E"/>
    <w:p w14:paraId="021A588A" w14:textId="3D985D73" w:rsidR="00347F64" w:rsidRDefault="006D236E" w:rsidP="006D236E">
      <w:pPr>
        <w:rPr>
          <w:rFonts w:cs="Times New Roman"/>
        </w:rPr>
      </w:pPr>
      <w:r>
        <w:t xml:space="preserve">W przeciwieństwie do metody dystansowej </w:t>
      </w:r>
      <w:r w:rsidR="00FC7AA7">
        <w:rPr>
          <w:rFonts w:cs="Times New Roman"/>
        </w:rPr>
        <w:t>szacowana</w:t>
      </w:r>
      <w:r>
        <w:rPr>
          <w:rFonts w:cs="Times New Roman"/>
        </w:rPr>
        <w:t xml:space="preserve"> jest</w:t>
      </w:r>
      <w:r w:rsidR="00FC7AA7">
        <w:rPr>
          <w:rFonts w:cs="Times New Roman"/>
        </w:rPr>
        <w:t xml:space="preserve"> β za pomocą </w:t>
      </w:r>
      <w:r w:rsidR="00347F64">
        <w:rPr>
          <w:rFonts w:cs="Times New Roman"/>
        </w:rPr>
        <w:t>regresji liniowej. Żeby ta beta była jednak istot</w:t>
      </w:r>
      <w:r w:rsidR="00682593">
        <w:rPr>
          <w:rFonts w:cs="Times New Roman"/>
        </w:rPr>
        <w:t>n</w:t>
      </w:r>
      <w:r w:rsidR="00347F64">
        <w:rPr>
          <w:rFonts w:cs="Times New Roman"/>
        </w:rPr>
        <w:t xml:space="preserve">a to skumulowane zwroty z akcji muszą być ze sobą skointegrowane. </w:t>
      </w:r>
    </w:p>
    <w:p w14:paraId="2B2694CC" w14:textId="77777777" w:rsidR="00347F64" w:rsidRDefault="00347F64" w:rsidP="006D236E">
      <w:pPr>
        <w:rPr>
          <w:rFonts w:cs="Times New Roman"/>
        </w:rPr>
      </w:pPr>
    </w:p>
    <w:p w14:paraId="62AFD42F" w14:textId="77777777" w:rsidR="00347F64" w:rsidRDefault="00347F64" w:rsidP="00347F64">
      <w:pPr>
        <w:rPr>
          <w:rFonts w:cs="Times New Roman"/>
        </w:rPr>
      </w:pPr>
      <w:r>
        <w:rPr>
          <w:rFonts w:cs="Times New Roman"/>
        </w:rPr>
        <w:t>Zakładając że w czasie t-1 zakładamy pozycję długą na jedną jednostkę aktywa drugiego oraz pozycję krótką na β jednostki  aktywa drugiego to przy ich zamknięciu w czasie t zysk wyrażony byłby jako:</w:t>
      </w:r>
    </w:p>
    <w:p w14:paraId="5CA80C9E" w14:textId="77777777" w:rsidR="00347F64" w:rsidRDefault="00347F64" w:rsidP="00347F64">
      <w:pPr>
        <w:rPr>
          <w:rFonts w:cs="Times New Roman"/>
        </w:rPr>
      </w:pPr>
    </w:p>
    <w:p w14:paraId="4395787A" w14:textId="4DE408D2" w:rsidR="00347F64" w:rsidRPr="00E72401" w:rsidRDefault="00000000" w:rsidP="00347F64">
      <w:pPr>
        <w:jc w:val="center"/>
        <w:rPr>
          <w:rFonts w:eastAsiaTheme="minorEastAsia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2,t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cum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2,t-1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cum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- β(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1,t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cum</m:t>
              </m:r>
            </m:sup>
          </m:sSubSup>
          <m:r>
            <w:rPr>
              <w:rFonts w:ascii="Cambria Math" w:eastAsiaTheme="minorEastAsia" w:hAnsi="Cambria Math" w:cs="Times New Roman"/>
            </w:rPr>
            <m:t>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1,t-1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cum</m:t>
              </m:r>
            </m:sup>
          </m:sSub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576306E0" w14:textId="77777777" w:rsidR="00A17DA3" w:rsidRDefault="00A17DA3" w:rsidP="009A2F84"/>
    <w:p w14:paraId="7682DC81" w14:textId="288026F3" w:rsidR="00E72401" w:rsidRDefault="00E72401" w:rsidP="009A2F84">
      <w:r>
        <w:t>Co po dalszych przekształceniach dałoby:</w:t>
      </w:r>
    </w:p>
    <w:p w14:paraId="0DC1B1F4" w14:textId="77777777" w:rsidR="00E72401" w:rsidRDefault="00E72401" w:rsidP="00E72401"/>
    <w:p w14:paraId="31E3FF2D" w14:textId="77777777" w:rsidR="003B0ED4" w:rsidRDefault="00000000" w:rsidP="00E72401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2,t</m:t>
                  </m:r>
                </m:sub>
                <m:sup>
                  <m:r>
                    <w:rPr>
                      <w:rFonts w:ascii="Cambria Math" w:hAnsi="Cambria Math"/>
                    </w:rPr>
                    <m:t>cum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 β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1,t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cum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2,t-1</m:t>
                  </m:r>
                </m:sub>
                <m:sup>
                  <m:r>
                    <w:rPr>
                      <w:rFonts w:ascii="Cambria Math" w:hAnsi="Cambria Math"/>
                    </w:rPr>
                    <m:t>cum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 β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1,t-1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cum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</m:oMath>
      </m:oMathPara>
    </w:p>
    <w:p w14:paraId="1AF147A3" w14:textId="77777777" w:rsidR="003B0ED4" w:rsidRDefault="003B0ED4" w:rsidP="00E72401">
      <w:pPr>
        <w:jc w:val="center"/>
        <w:rPr>
          <w:rFonts w:eastAsiaTheme="minorEastAsia"/>
        </w:rPr>
      </w:pPr>
    </w:p>
    <w:p w14:paraId="65FF775C" w14:textId="77777777" w:rsidR="009A2F84" w:rsidRDefault="009A2F84" w:rsidP="009A2F84">
      <w:r>
        <w:t>Z tego wynika że zysk z takowej sytuacji powinien być równy różnicy różnic skumulowanych zwrotów w okresach t oraz t-1. Jest to zatem podstawa do wykorzystywania relacji kointegracyjnej cen aktywów jako filtra do wyznaczania par.</w:t>
      </w:r>
    </w:p>
    <w:p w14:paraId="63A18846" w14:textId="77777777" w:rsidR="009A2F84" w:rsidRDefault="009A2F84" w:rsidP="009A2F84"/>
    <w:p w14:paraId="31945F3B" w14:textId="061AEE99" w:rsidR="0028501D" w:rsidRDefault="009A2F84" w:rsidP="0028501D">
      <w:r>
        <w:t xml:space="preserve">Okres formacyjny </w:t>
      </w:r>
      <w:r w:rsidR="000308D4">
        <w:t>wygląda</w:t>
      </w:r>
      <w:r>
        <w:t xml:space="preserve"> na początku podobnie jak w przypadku metody dystansowej.  </w:t>
      </w:r>
      <w:r w:rsidR="00A17DA3">
        <w:t>W przedziale 12 miesięcy liczona jest metryka euklidesowa</w:t>
      </w:r>
      <w:r w:rsidR="000308D4">
        <w:t xml:space="preserve"> różnic skumulowanych zwrotów</w:t>
      </w:r>
      <w:r w:rsidR="00A17DA3">
        <w:t xml:space="preserve"> dla wszystkich możliwych par. Na jej podstawie wszystkie skonstruowane pary są sortowane </w:t>
      </w:r>
      <w:r w:rsidR="00463321">
        <w:t>od</w:t>
      </w:r>
      <w:r w:rsidR="00A17DA3">
        <w:t xml:space="preserve"> najmniejszej odległości do największej.</w:t>
      </w:r>
      <w:r w:rsidR="001E03F3">
        <w:t xml:space="preserve"> Pierwsze 20 par jest testowanych pod kointegrację skumulowanych zwrotów</w:t>
      </w:r>
      <w:r w:rsidR="0028501D">
        <w:t>. Jeżeli któraś z nich tego testu nie przejdzie, etap jest powtarzany dla kolejnych par</w:t>
      </w:r>
      <w:r w:rsidR="00463321">
        <w:t>,</w:t>
      </w:r>
      <w:r w:rsidR="0028501D">
        <w:t xml:space="preserve"> aż </w:t>
      </w:r>
      <w:r w:rsidR="00463321">
        <w:t>ostatecznie</w:t>
      </w:r>
      <w:r w:rsidR="0028501D">
        <w:t xml:space="preserve"> zbierze się 20 skointegrowanych par.</w:t>
      </w:r>
    </w:p>
    <w:p w14:paraId="30F2C89D" w14:textId="77777777" w:rsidR="0028501D" w:rsidRDefault="0028501D" w:rsidP="0028501D"/>
    <w:p w14:paraId="01AFD5E2" w14:textId="77777777" w:rsidR="00463321" w:rsidRDefault="00463321">
      <w:pPr>
        <w:spacing w:after="160" w:line="259" w:lineRule="auto"/>
        <w:ind w:firstLine="0"/>
        <w:jc w:val="left"/>
      </w:pPr>
      <w:r>
        <w:br w:type="page"/>
      </w:r>
    </w:p>
    <w:p w14:paraId="3127FB1E" w14:textId="524023F2" w:rsidR="008911BF" w:rsidRDefault="0028501D" w:rsidP="0028501D">
      <w:r>
        <w:lastRenderedPageBreak/>
        <w:t>Test kointegracji przeprowadzany jest dwu-etapową metodą Engla-Grangera</w:t>
      </w:r>
      <w:r w:rsidR="004C6F0C">
        <w:t>. Najpierw sprawdzane jest czy obie zmienne są niestacjonarne i zintegrowane w stopniu pierwszym I(1)</w:t>
      </w:r>
      <w:r>
        <w:t>.</w:t>
      </w:r>
      <w:r w:rsidR="008911BF">
        <w:t xml:space="preserve"> </w:t>
      </w:r>
      <w:r w:rsidR="00EB1415">
        <w:t>Na</w:t>
      </w:r>
      <w:r w:rsidR="004C6F0C">
        <w:t>stępnie</w:t>
      </w:r>
      <w:r w:rsidR="00EB1415">
        <w:t xml:space="preserve"> estymowana jest długoterminowa relacja równowagi:</w:t>
      </w:r>
    </w:p>
    <w:p w14:paraId="0D9A6E72" w14:textId="77777777" w:rsidR="00EB1415" w:rsidRDefault="00EB1415" w:rsidP="0028501D"/>
    <w:p w14:paraId="234C8C55" w14:textId="63D051EA" w:rsidR="00EB1415" w:rsidRDefault="00000000" w:rsidP="00EB1415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4E8B2F4" w14:textId="77777777" w:rsidR="008911BF" w:rsidRDefault="008911BF" w:rsidP="008911BF">
      <w:pPr>
        <w:jc w:val="center"/>
      </w:pPr>
    </w:p>
    <w:p w14:paraId="32D62AB1" w14:textId="3B398368" w:rsidR="009F6122" w:rsidRDefault="00683F7A" w:rsidP="00B718D5">
      <w:pPr>
        <w:ind w:firstLine="0"/>
        <w:rPr>
          <w:rFonts w:eastAsiaTheme="minorEastAsia"/>
        </w:rPr>
      </w:pPr>
      <w:r>
        <w:t xml:space="preserve">Na końcu  </w:t>
      </w:r>
      <w:r w:rsidR="004C6F0C">
        <w:t>testowana jest stacjonarność reszt powyższego modelu np. za pomocą testu Dickeya-Fullera. Jeśli reszty są stacjonarne I(0) to zmienne są skointegrowane</w:t>
      </w:r>
      <w:r w:rsidR="00CD69C8">
        <w:t>.</w:t>
      </w:r>
      <w:r w:rsidR="00860D42">
        <w:t xml:space="preserve"> </w:t>
      </w:r>
      <w:r w:rsidR="00541FB3">
        <w:t>Wtedy</w:t>
      </w:r>
      <w:r w:rsidR="00CD69C8">
        <w:t xml:space="preserve"> szacowan</w:t>
      </w:r>
      <w:r w:rsidR="00541FB3">
        <w:t xml:space="preserve">y jest </w:t>
      </w:r>
      <w:r w:rsidR="00860D42">
        <w:t xml:space="preserve">model ECM i </w:t>
      </w:r>
      <w:r w:rsidR="00541FB3">
        <w:t xml:space="preserve">testowany pod kątem </w:t>
      </w:r>
      <w:r w:rsidR="00860D42">
        <w:t>istotności parametru</w:t>
      </w:r>
      <w:r w:rsidR="00CD69C8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 w:rsidR="00860D42">
        <w:rPr>
          <w:rFonts w:eastAsiaTheme="minorEastAsia"/>
        </w:rPr>
        <w:t xml:space="preserve">. Jeżeli będzie on istotny oraz </w:t>
      </w:r>
      <w:r w:rsidR="007B65D6">
        <w:rPr>
          <w:rFonts w:eastAsiaTheme="minorEastAsia"/>
        </w:rPr>
        <w:t>ujemny to znaczy że para skumulowanych zwrotów aktyw poza długoterminową zależnością cechuje się też krótkoterminowymi korektami odchyleń od średnie</w:t>
      </w:r>
      <w:r w:rsidR="009F6122">
        <w:rPr>
          <w:rFonts w:eastAsiaTheme="minorEastAsia"/>
        </w:rPr>
        <w:t>j, więc ta para przejdzie do okresu handlowania. W przeciwnym wypadku para zostanie anulowana.</w:t>
      </w:r>
    </w:p>
    <w:p w14:paraId="24A38DE9" w14:textId="77777777" w:rsidR="009F6122" w:rsidRDefault="009F6122" w:rsidP="00860D42">
      <w:pPr>
        <w:rPr>
          <w:rFonts w:eastAsiaTheme="minorEastAsia"/>
        </w:rPr>
      </w:pPr>
    </w:p>
    <w:p w14:paraId="4351B210" w14:textId="700AFEF4" w:rsidR="009F6122" w:rsidRDefault="009F6122" w:rsidP="00860D42">
      <w:pPr>
        <w:rPr>
          <w:rFonts w:eastAsiaTheme="minorEastAsia"/>
        </w:rPr>
      </w:pPr>
      <w:r>
        <w:rPr>
          <w:rFonts w:eastAsiaTheme="minorEastAsia"/>
        </w:rPr>
        <w:t xml:space="preserve">W następnym okresie handlu akcjami zasady są podobne jak w metodzie dystansowej. Tym razem jednak w momentach podwójnych odchyleń dodatnich/ujemnych względem średniej historycznej zakładamy krótką/długą pozycję na jedną jednostkę akcji drugiej oraz długą/krótką pozycję na </w:t>
      </w:r>
      <w:r>
        <w:rPr>
          <w:rFonts w:eastAsiaTheme="minorEastAsia" w:cs="Times New Roman"/>
        </w:rPr>
        <w:t>β</w:t>
      </w:r>
      <w:r>
        <w:rPr>
          <w:rFonts w:eastAsiaTheme="minorEastAsia"/>
        </w:rPr>
        <w:t xml:space="preserve"> jednostki akcji pierwszej.</w:t>
      </w:r>
    </w:p>
    <w:p w14:paraId="6C54B537" w14:textId="77777777" w:rsidR="0042372D" w:rsidRDefault="0042372D" w:rsidP="00860D42">
      <w:pPr>
        <w:rPr>
          <w:rFonts w:eastAsiaTheme="minorEastAsia"/>
        </w:rPr>
      </w:pPr>
    </w:p>
    <w:p w14:paraId="3A569484" w14:textId="235B60F2" w:rsidR="0042372D" w:rsidRDefault="0042372D" w:rsidP="00860D42">
      <w:pPr>
        <w:rPr>
          <w:rFonts w:eastAsiaTheme="minorEastAsia"/>
        </w:rPr>
      </w:pPr>
      <w:r>
        <w:rPr>
          <w:rFonts w:eastAsiaTheme="minorEastAsia"/>
        </w:rPr>
        <w:t>Strategia została przetestowana na latach 1963-2015 na tym samym</w:t>
      </w:r>
      <w:r w:rsidR="005B7836">
        <w:rPr>
          <w:rFonts w:eastAsiaTheme="minorEastAsia"/>
        </w:rPr>
        <w:t xml:space="preserve"> zbiorze</w:t>
      </w:r>
      <w:r>
        <w:rPr>
          <w:rFonts w:eastAsiaTheme="minorEastAsia"/>
        </w:rPr>
        <w:t xml:space="preserve"> co Gatev i odniosła średni </w:t>
      </w:r>
      <w:r w:rsidR="00682593">
        <w:rPr>
          <w:rFonts w:eastAsiaTheme="minorEastAsia"/>
        </w:rPr>
        <w:t xml:space="preserve">miesięczny </w:t>
      </w:r>
      <w:r>
        <w:rPr>
          <w:rFonts w:eastAsiaTheme="minorEastAsia"/>
        </w:rPr>
        <w:t>nadzwyczajny zysk na poziomie</w:t>
      </w:r>
      <w:r w:rsidR="00E534C4">
        <w:rPr>
          <w:rFonts w:eastAsiaTheme="minorEastAsia"/>
        </w:rPr>
        <w:t xml:space="preserve"> 0.33%. Podobnie jak w przypadku metody dystansowej w latach 2003-2015, efektywność strategii spada.</w:t>
      </w:r>
    </w:p>
    <w:p w14:paraId="33D75DDE" w14:textId="77777777" w:rsidR="00E534C4" w:rsidRDefault="00E534C4" w:rsidP="00860D42">
      <w:pPr>
        <w:rPr>
          <w:rFonts w:eastAsiaTheme="minorEastAsia"/>
        </w:rPr>
      </w:pPr>
    </w:p>
    <w:p w14:paraId="6A911285" w14:textId="751400F3" w:rsidR="00E534C4" w:rsidRDefault="00E534C4" w:rsidP="00E534C4">
      <w:pPr>
        <w:pStyle w:val="Heading3"/>
        <w:rPr>
          <w:rFonts w:eastAsiaTheme="minorEastAsia"/>
        </w:rPr>
      </w:pPr>
      <w:r>
        <w:rPr>
          <w:rFonts w:eastAsiaTheme="minorEastAsia"/>
        </w:rPr>
        <w:t>Podejście Stochastyczne</w:t>
      </w:r>
      <w:r w:rsidR="004E4432">
        <w:rPr>
          <w:rFonts w:eastAsiaTheme="minorEastAsia"/>
        </w:rPr>
        <w:t xml:space="preserve"> – model przestrzeni stanów</w:t>
      </w:r>
    </w:p>
    <w:p w14:paraId="2EA0FF32" w14:textId="19E645AD" w:rsidR="00F54C2C" w:rsidRDefault="004635EA" w:rsidP="00463321">
      <w:pPr>
        <w:pStyle w:val="Pierwszyakapit"/>
      </w:pPr>
      <w:r>
        <w:t xml:space="preserve">Poza </w:t>
      </w:r>
      <w:r w:rsidR="007C181C">
        <w:t>podejściami kointegracyjnymi i dystansowymi</w:t>
      </w:r>
      <w:r>
        <w:t xml:space="preserve"> jest cała klasa badań poświęconych pairs tradingowi</w:t>
      </w:r>
      <w:r w:rsidR="00110A98">
        <w:t>,</w:t>
      </w:r>
      <w:r>
        <w:t xml:space="preserve"> </w:t>
      </w:r>
      <w:r w:rsidR="00347324">
        <w:t xml:space="preserve">w których </w:t>
      </w:r>
      <w:r w:rsidR="00F54C2C">
        <w:t>spread między cenami aktywów jest modelowany za pomocą proces</w:t>
      </w:r>
      <w:r w:rsidR="009F6659">
        <w:t>ów</w:t>
      </w:r>
      <w:r w:rsidR="007C181C">
        <w:t xml:space="preserve"> stochastycznych</w:t>
      </w:r>
      <w:r w:rsidR="00347324">
        <w:t>, np. procesem</w:t>
      </w:r>
      <w:r w:rsidR="00F54C2C">
        <w:t xml:space="preserve"> Orhensteina-Uhlenbecka</w:t>
      </w:r>
      <w:r w:rsidR="003359DF">
        <w:t xml:space="preserve"> (Krauss, 2017</w:t>
      </w:r>
      <w:r w:rsidR="00EF0983">
        <w:t>, s. 524-526</w:t>
      </w:r>
      <w:r w:rsidR="003359DF">
        <w:t>)</w:t>
      </w:r>
      <w:r w:rsidR="00F54C2C">
        <w:t>.</w:t>
      </w:r>
    </w:p>
    <w:p w14:paraId="54B68AC0" w14:textId="77777777" w:rsidR="00463321" w:rsidRPr="00463321" w:rsidRDefault="00463321" w:rsidP="00463321"/>
    <w:p w14:paraId="2C38548F" w14:textId="68EE935B" w:rsidR="00F54C2C" w:rsidRPr="00F54C2C" w:rsidRDefault="00F54C2C" w:rsidP="00463321">
      <w:pPr>
        <w:ind w:firstLine="0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w:lastRenderedPageBreak/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 λ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μ-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dt+ σd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2765089" w14:textId="77777777" w:rsidR="00F54C2C" w:rsidRPr="00F54C2C" w:rsidRDefault="00F54C2C" w:rsidP="00F54C2C">
      <w:pPr>
        <w:pStyle w:val="Pierwszyakapit"/>
      </w:pPr>
      <w:r w:rsidRPr="00F54C2C">
        <w:t>gdzie:</w:t>
      </w:r>
    </w:p>
    <w:p w14:paraId="4FFC7B33" w14:textId="61CA5EA7" w:rsidR="00F54C2C" w:rsidRPr="00F54C2C" w:rsidRDefault="00F54C2C" w:rsidP="00F54C2C">
      <w:pPr>
        <w:pStyle w:val="Pierwszyakapit"/>
      </w:pP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– szybkość </w:t>
      </w:r>
      <w:r w:rsidRPr="00F54C2C">
        <w:t xml:space="preserve">powrotu do średniej </w:t>
      </w:r>
    </w:p>
    <w:p w14:paraId="240F2ECB" w14:textId="7D692FD1" w:rsidR="00F54C2C" w:rsidRPr="00F54C2C" w:rsidRDefault="00F54C2C" w:rsidP="00F54C2C">
      <w:pPr>
        <w:pStyle w:val="Pierwszyakapit"/>
      </w:pP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– wartość </w:t>
      </w:r>
      <w:r w:rsidRPr="00F54C2C">
        <w:t xml:space="preserve">średnia, do której proces dąży </w:t>
      </w:r>
    </w:p>
    <w:p w14:paraId="3C6F8DC2" w14:textId="5B328CEA" w:rsidR="00F54C2C" w:rsidRDefault="00F54C2C" w:rsidP="00F54C2C">
      <w:pPr>
        <w:pStyle w:val="Pierwszyakapit"/>
      </w:pPr>
      <m:oMath>
        <m:r>
          <w:rPr>
            <w:rFonts w:ascii="Cambria Math" w:hAnsi="Cambria Math"/>
          </w:rPr>
          <m:t>σ</m:t>
        </m:r>
      </m:oMath>
      <w:r>
        <w:rPr>
          <w:rFonts w:eastAsiaTheme="minorEastAsia"/>
          <w:iCs/>
        </w:rPr>
        <w:t xml:space="preserve"> – intensywność losowego szumu  </w:t>
      </w:r>
    </w:p>
    <w:p w14:paraId="3AED508D" w14:textId="2B9E072F" w:rsidR="00F54C2C" w:rsidRDefault="00000000" w:rsidP="00F54C2C">
      <w:pPr>
        <w:ind w:firstLine="0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54C2C">
        <w:rPr>
          <w:rFonts w:eastAsiaTheme="minorEastAsia"/>
          <w:iCs/>
        </w:rPr>
        <w:t xml:space="preserve"> – standardowy proces Wienera</w:t>
      </w:r>
    </w:p>
    <w:p w14:paraId="052D5BF7" w14:textId="77777777" w:rsidR="00F54C2C" w:rsidRDefault="00F54C2C" w:rsidP="00E62F7A"/>
    <w:p w14:paraId="2BDB5C8A" w14:textId="0B90E07D" w:rsidR="004A3303" w:rsidRDefault="003359DF" w:rsidP="004A3303">
      <w:r w:rsidRPr="003359DF">
        <w:t>Elliott</w:t>
      </w:r>
      <w:r w:rsidR="005E7547">
        <w:t xml:space="preserve"> </w:t>
      </w:r>
      <w:r w:rsidR="005E7547" w:rsidRPr="00B718D5">
        <w:rPr>
          <w:color w:val="EE0000"/>
        </w:rPr>
        <w:t>(rok)</w:t>
      </w:r>
      <w:r w:rsidRPr="003359DF">
        <w:t xml:space="preserve"> zaproponowa</w:t>
      </w:r>
      <w:r>
        <w:t>ł</w:t>
      </w:r>
      <w:r w:rsidRPr="003359DF">
        <w:t xml:space="preserve"> modelowanie spreadu między dwoma instrumentami finansowymi za pomocą</w:t>
      </w:r>
      <w:r w:rsidR="00EE113A">
        <w:t xml:space="preserve"> modelu</w:t>
      </w:r>
      <w:r w:rsidRPr="003359DF">
        <w:t xml:space="preserve"> przestrzeni stanów</w:t>
      </w:r>
      <w:r w:rsidR="005E7547">
        <w:t>,</w:t>
      </w:r>
      <w:r w:rsidR="00EE113A">
        <w:t xml:space="preserve"> czyli matematycznej struktury</w:t>
      </w:r>
      <w:r w:rsidR="00C20607">
        <w:t xml:space="preserve"> używanej do opisu ewolucji systemu w czasie poprzez obserwację relacji pomiędzy wewnętrznym stanem, a jego obserwacjami. S</w:t>
      </w:r>
      <w:r w:rsidRPr="003359DF">
        <w:t>kładającej się</w:t>
      </w:r>
      <w:r w:rsidR="00C20607">
        <w:t xml:space="preserve"> ona</w:t>
      </w:r>
      <w:r w:rsidRPr="003359DF">
        <w:t xml:space="preserve"> z </w:t>
      </w:r>
      <w:r>
        <w:t>równania stanu</w:t>
      </w:r>
      <w:r w:rsidR="004A3303">
        <w:t>.</w:t>
      </w:r>
      <w:r w:rsidR="00EE113A">
        <w:t xml:space="preserve"> </w:t>
      </w:r>
    </w:p>
    <w:p w14:paraId="76D0A648" w14:textId="77777777" w:rsidR="004A3303" w:rsidRDefault="004A3303" w:rsidP="004A3303"/>
    <w:p w14:paraId="67F7D805" w14:textId="4B77FA20" w:rsidR="00E62F7A" w:rsidRPr="004A3303" w:rsidRDefault="004A3303" w:rsidP="004A3303">
      <w:pPr>
        <w:rPr>
          <w:rFonts w:eastAsiaTheme="minorEastAsia"/>
          <w:iCs/>
        </w:rPr>
      </w:pPr>
      <w:r>
        <w:t>W</w:t>
      </w:r>
      <w:r w:rsidR="00EE113A">
        <w:t xml:space="preserve"> kontekście Paris Trading faktycznej wartości </w:t>
      </w:r>
      <w:r w:rsidR="00C20607">
        <w:t>nieefektywności rynku wycenie aktywa</w:t>
      </w:r>
      <w:r w:rsidR="00EE113A">
        <w:t>.</w:t>
      </w:r>
      <w:r w:rsidR="003359DF">
        <w:t xml:space="preserve"> </w:t>
      </w:r>
      <w:r w:rsidR="00EE113A">
        <w:t>W</w:t>
      </w:r>
      <w:r w:rsidR="003359DF">
        <w:t xml:space="preserve"> wersji ciągłej może być zapisane w postaci procesu OU</w:t>
      </w:r>
      <w:r w:rsidR="00EF0983">
        <w:t xml:space="preserve"> </w:t>
      </w:r>
      <w:r w:rsidR="00E62F7A">
        <w:t>(Elliot, 2005</w:t>
      </w:r>
      <w:r w:rsidR="00EA5296">
        <w:t>, s. 271-276</w:t>
      </w:r>
      <w:r w:rsidR="00E62F7A">
        <w:t>)</w:t>
      </w:r>
      <w:r>
        <w:t xml:space="preserve"> prezentowanym tak jak powyżej</w:t>
      </w:r>
      <w:r w:rsidR="00E62F7A">
        <w:t>.</w:t>
      </w:r>
      <w:r>
        <w:rPr>
          <w:rFonts w:eastAsiaTheme="minorEastAsia"/>
          <w:iCs/>
        </w:rPr>
        <w:t xml:space="preserve"> </w:t>
      </w:r>
      <w:r w:rsidR="00E62F7A">
        <w:t xml:space="preserve">Drugim równaniem za to jest równanie </w:t>
      </w:r>
      <w:r w:rsidR="00EE113A">
        <w:t>obserwacji</w:t>
      </w:r>
    </w:p>
    <w:p w14:paraId="4DDD7F27" w14:textId="77777777" w:rsidR="00F54C2C" w:rsidRPr="00F54C2C" w:rsidRDefault="00F54C2C" w:rsidP="00F54C2C">
      <w:pPr>
        <w:ind w:firstLine="0"/>
      </w:pPr>
    </w:p>
    <w:p w14:paraId="2914CEF5" w14:textId="4F962A75" w:rsidR="00E72401" w:rsidRDefault="00000000" w:rsidP="00E72401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b>
        </m:sSub>
      </m:oMath>
      <w:r w:rsidR="00E72401">
        <w:rPr>
          <w:rFonts w:eastAsiaTheme="minorEastAsia"/>
        </w:rPr>
        <w:t xml:space="preserve"> </w:t>
      </w:r>
    </w:p>
    <w:p w14:paraId="580E7A36" w14:textId="148DA907" w:rsidR="00C20607" w:rsidRDefault="00C20607" w:rsidP="00C20607">
      <w:pPr>
        <w:pStyle w:val="Pierwszyakapit"/>
      </w:pPr>
      <w:r>
        <w:t>Gdzie:</w:t>
      </w:r>
    </w:p>
    <w:p w14:paraId="4CC3FD5F" w14:textId="7FD24065" w:rsidR="00C20607" w:rsidRDefault="00000000" w:rsidP="00C2060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b>
        </m:sSub>
      </m:oMath>
      <w:r w:rsidR="00C20607">
        <w:rPr>
          <w:rFonts w:eastAsiaTheme="minorEastAsia"/>
        </w:rPr>
        <w:t xml:space="preserve"> – jest szumem Gaussowskim</w:t>
      </w:r>
    </w:p>
    <w:p w14:paraId="26F36C00" w14:textId="2C854503" w:rsidR="004A3303" w:rsidRDefault="004A3303" w:rsidP="00C20607">
      <w:pPr>
        <w:rPr>
          <w:rFonts w:eastAsiaTheme="minorEastAsia"/>
        </w:rPr>
      </w:pPr>
      <w:r>
        <w:rPr>
          <w:rFonts w:eastAsiaTheme="minorEastAsia"/>
        </w:rPr>
        <w:t>Równanie obserwacji jest zatem faktycznym wewnętrznym procesem, którego widoczność jest ograniczona białym szumem.</w:t>
      </w:r>
    </w:p>
    <w:p w14:paraId="3A20D94F" w14:textId="77777777" w:rsidR="004A3303" w:rsidRDefault="004A3303" w:rsidP="00C20607">
      <w:pPr>
        <w:rPr>
          <w:rFonts w:eastAsiaTheme="minorEastAsia"/>
        </w:rPr>
      </w:pPr>
    </w:p>
    <w:p w14:paraId="3A09D32C" w14:textId="24108F9A" w:rsidR="009B566F" w:rsidRDefault="00C20607" w:rsidP="007C181C">
      <w:pPr>
        <w:rPr>
          <w:rFonts w:eastAsiaTheme="minorEastAsia"/>
        </w:rPr>
      </w:pPr>
      <w:r>
        <w:rPr>
          <w:rFonts w:eastAsiaTheme="minorEastAsia"/>
        </w:rPr>
        <w:t xml:space="preserve">Elliot zaproponował </w:t>
      </w:r>
      <w:r w:rsidR="007C181C">
        <w:rPr>
          <w:rFonts w:eastAsiaTheme="minorEastAsia"/>
        </w:rPr>
        <w:t xml:space="preserve">wejście odpowiednio w pozycje długie i krótkie w momentach gdy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≥ μ+c(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2b</m:t>
                </m:r>
              </m:e>
            </m:rad>
          </m:den>
        </m:f>
        <m:r>
          <w:rPr>
            <w:rFonts w:ascii="Cambria Math" w:eastAsiaTheme="minorEastAsia" w:hAnsi="Cambria Math"/>
          </w:rPr>
          <m:t xml:space="preserve">) </m:t>
        </m:r>
      </m:oMath>
      <w:r w:rsidR="004A3303">
        <w:rPr>
          <w:rFonts w:eastAsiaTheme="minorEastAsia"/>
        </w:rPr>
        <w:t xml:space="preserve"> lub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≤ μ-c(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2b</m:t>
                </m:r>
              </m:e>
            </m:rad>
          </m:den>
        </m:f>
        <m:r>
          <w:rPr>
            <w:rFonts w:ascii="Cambria Math" w:eastAsiaTheme="minorEastAsia" w:hAnsi="Cambria Math"/>
          </w:rPr>
          <m:t>)</m:t>
        </m:r>
      </m:oMath>
      <w:r w:rsidR="004A3303">
        <w:rPr>
          <w:rFonts w:eastAsiaTheme="minorEastAsia"/>
        </w:rPr>
        <w:t>. Przy czym stała c nie została przez niego zdefiniowana. Można zatem pewnie ją odpowiednio parametryzować.</w:t>
      </w:r>
    </w:p>
    <w:p w14:paraId="194E40B8" w14:textId="77777777" w:rsidR="001E7A6B" w:rsidRDefault="001E7A6B" w:rsidP="007C181C">
      <w:pPr>
        <w:rPr>
          <w:rFonts w:eastAsiaTheme="minorEastAsia"/>
        </w:rPr>
      </w:pPr>
    </w:p>
    <w:p w14:paraId="5AAE7CD8" w14:textId="09560405" w:rsidR="001E7A6B" w:rsidRDefault="001E7A6B" w:rsidP="007C181C">
      <w:pPr>
        <w:rPr>
          <w:rFonts w:eastAsiaTheme="minorEastAsia"/>
        </w:rPr>
      </w:pPr>
      <w:r>
        <w:rPr>
          <w:rFonts w:eastAsiaTheme="minorEastAsia"/>
        </w:rPr>
        <w:t>Model ten został jednak skrytykowany przez Do (2006</w:t>
      </w:r>
      <w:r w:rsidR="00EA5296">
        <w:rPr>
          <w:rFonts w:eastAsiaTheme="minorEastAsia"/>
        </w:rPr>
        <w:t>, s. 10-15</w:t>
      </w:r>
      <w:r>
        <w:rPr>
          <w:rFonts w:eastAsiaTheme="minorEastAsia"/>
        </w:rPr>
        <w:t>)</w:t>
      </w:r>
      <w:r w:rsidR="003A14ED">
        <w:rPr>
          <w:rFonts w:eastAsiaTheme="minorEastAsia"/>
        </w:rPr>
        <w:t>, który p</w:t>
      </w:r>
      <w:r>
        <w:rPr>
          <w:rFonts w:eastAsiaTheme="minorEastAsia"/>
        </w:rPr>
        <w:t>okazał</w:t>
      </w:r>
      <w:r w:rsidR="003A14ED">
        <w:rPr>
          <w:rFonts w:eastAsiaTheme="minorEastAsia"/>
        </w:rPr>
        <w:t>,</w:t>
      </w:r>
      <w:r>
        <w:rPr>
          <w:rFonts w:eastAsiaTheme="minorEastAsia"/>
        </w:rPr>
        <w:t xml:space="preserve"> że zastosowanie tego modelu na samych cenach sprawia że jest on aplikowalny w nielicznych</w:t>
      </w:r>
      <w:r w:rsidR="00AA279D">
        <w:rPr>
          <w:rFonts w:eastAsiaTheme="minorEastAsia"/>
        </w:rPr>
        <w:t xml:space="preserve"> i sztywnych</w:t>
      </w:r>
      <w:r>
        <w:rPr>
          <w:rFonts w:eastAsiaTheme="minorEastAsia"/>
        </w:rPr>
        <w:t xml:space="preserve"> przypadkach</w:t>
      </w:r>
      <w:r w:rsidR="00AA279D">
        <w:rPr>
          <w:rFonts w:eastAsiaTheme="minorEastAsia"/>
        </w:rPr>
        <w:t xml:space="preserve">, gdy ceny różnych aktywów są stale ze sobą powiązane, przykładowo gdy spółka jest notowana </w:t>
      </w:r>
      <w:r w:rsidR="00AA279D">
        <w:rPr>
          <w:rFonts w:eastAsiaTheme="minorEastAsia"/>
        </w:rPr>
        <w:lastRenderedPageBreak/>
        <w:t>równocześnie na dwóch giełdach.</w:t>
      </w:r>
      <w:r>
        <w:rPr>
          <w:rFonts w:eastAsiaTheme="minorEastAsia"/>
        </w:rPr>
        <w:t xml:space="preserve"> </w:t>
      </w:r>
      <w:r w:rsidR="00AA279D">
        <w:rPr>
          <w:rFonts w:eastAsiaTheme="minorEastAsia"/>
        </w:rPr>
        <w:t xml:space="preserve">Dlatego proponuje od siebie </w:t>
      </w:r>
      <w:r w:rsidR="009F6659">
        <w:rPr>
          <w:rFonts w:eastAsiaTheme="minorEastAsia"/>
        </w:rPr>
        <w:t>modelowanie nie cen a skumulowanych zwrotów z aktywów oraz dodanie do modelu czynników egzogenicznych aby wyczyścić spread z wpływów zewnętrznych.</w:t>
      </w:r>
    </w:p>
    <w:p w14:paraId="467F326E" w14:textId="77777777" w:rsidR="009F6659" w:rsidRDefault="009F6659" w:rsidP="007C181C">
      <w:pPr>
        <w:rPr>
          <w:rFonts w:eastAsiaTheme="minorEastAsia"/>
        </w:rPr>
      </w:pPr>
    </w:p>
    <w:p w14:paraId="6DEF7CB6" w14:textId="3B0601C3" w:rsidR="009F6659" w:rsidRDefault="00000000" w:rsidP="009F6659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Γ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b>
        </m:sSub>
      </m:oMath>
      <w:r w:rsidR="009F6659">
        <w:rPr>
          <w:rFonts w:eastAsiaTheme="minorEastAsia"/>
        </w:rPr>
        <w:t xml:space="preserve"> </w:t>
      </w:r>
    </w:p>
    <w:p w14:paraId="272E039F" w14:textId="44C11D22" w:rsidR="009F6659" w:rsidRDefault="009F6659" w:rsidP="009F6659">
      <w:pPr>
        <w:pStyle w:val="Pierwszyakapit"/>
      </w:pPr>
      <w:r>
        <w:t>Gdzie:</w:t>
      </w:r>
    </w:p>
    <w:p w14:paraId="49773087" w14:textId="3A0AD25B" w:rsidR="009F6659" w:rsidRDefault="009F6659" w:rsidP="009F6659">
      <w:pPr>
        <w:pStyle w:val="Pierwszyakapit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Γ</m:t>
        </m:r>
      </m:oMath>
      <w:r>
        <w:rPr>
          <w:rFonts w:eastAsiaTheme="minorEastAsia"/>
        </w:rPr>
        <w:t xml:space="preserve"> – macierz obciążeń</w:t>
      </w:r>
    </w:p>
    <w:p w14:paraId="609EB030" w14:textId="470D9280" w:rsidR="00C25CE7" w:rsidRPr="00682593" w:rsidRDefault="00000000" w:rsidP="00682593">
      <w:pPr>
        <w:pStyle w:val="Pierwszyakap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9F6659">
        <w:rPr>
          <w:rFonts w:eastAsiaTheme="minorEastAsia"/>
        </w:rPr>
        <w:t xml:space="preserve"> – wektor zmiennych egzogenicznych</w:t>
      </w:r>
      <w:r w:rsidR="00C25CE7">
        <w:br w:type="page"/>
      </w:r>
    </w:p>
    <w:p w14:paraId="10EA97CD" w14:textId="77777777" w:rsidR="00FA1FA9" w:rsidRDefault="00C25CE7" w:rsidP="00030CAD">
      <w:pPr>
        <w:pStyle w:val="Heading2"/>
      </w:pPr>
      <w:r>
        <w:lastRenderedPageBreak/>
        <w:t>Rozdział III</w:t>
      </w:r>
      <w:r w:rsidR="00FA1FA9">
        <w:t xml:space="preserve"> </w:t>
      </w:r>
    </w:p>
    <w:p w14:paraId="1D455758" w14:textId="4E9DA5B3" w:rsidR="004B4966" w:rsidRDefault="00FA1FA9" w:rsidP="00030CAD">
      <w:pPr>
        <w:pStyle w:val="Heading2"/>
      </w:pPr>
      <w:r>
        <w:t>Rezultaty realizacji Strategii Pairs Trading</w:t>
      </w:r>
    </w:p>
    <w:p w14:paraId="00DECFE2" w14:textId="77777777" w:rsidR="00C25CE7" w:rsidRPr="00C25CE7" w:rsidRDefault="00C25CE7" w:rsidP="00C25CE7">
      <w:pPr>
        <w:pStyle w:val="ListParagraph"/>
        <w:keepNext/>
        <w:keepLines/>
        <w:numPr>
          <w:ilvl w:val="0"/>
          <w:numId w:val="15"/>
        </w:numPr>
        <w:spacing w:before="160" w:after="80"/>
        <w:contextualSpacing w:val="0"/>
        <w:jc w:val="left"/>
        <w:outlineLvl w:val="2"/>
        <w:rPr>
          <w:rFonts w:eastAsiaTheme="majorEastAsia" w:cstheme="majorBidi"/>
          <w:b/>
          <w:bCs/>
          <w:vanish/>
          <w:szCs w:val="24"/>
        </w:rPr>
      </w:pPr>
    </w:p>
    <w:p w14:paraId="7FCCCD02" w14:textId="464F76B3" w:rsidR="00C25CE7" w:rsidRDefault="002B065B" w:rsidP="00C25CE7">
      <w:pPr>
        <w:pStyle w:val="Heading3"/>
      </w:pPr>
      <w:r>
        <w:t>Podejście w badaniu do wykonania strategii</w:t>
      </w:r>
      <w:r w:rsidR="001D6DBE">
        <w:t xml:space="preserve"> Pairs Trading</w:t>
      </w:r>
    </w:p>
    <w:p w14:paraId="4A800DFA" w14:textId="5E0EEF98" w:rsidR="001D6DBE" w:rsidRDefault="00BF4586" w:rsidP="002B065B">
      <w:pPr>
        <w:pStyle w:val="Pierwszyakapit"/>
      </w:pPr>
      <w:r>
        <w:t xml:space="preserve">W części empirycznej </w:t>
      </w:r>
      <w:r w:rsidR="002B065B">
        <w:t>zdecydował</w:t>
      </w:r>
      <w:r>
        <w:t>em</w:t>
      </w:r>
      <w:r w:rsidR="002B065B">
        <w:t xml:space="preserve"> się </w:t>
      </w:r>
      <w:r>
        <w:t>przeprowadzenie testu efektywności</w:t>
      </w:r>
      <w:r w:rsidR="002B065B">
        <w:t xml:space="preserve"> strategii </w:t>
      </w:r>
      <w:r w:rsidR="005C4D67">
        <w:t xml:space="preserve">w wariancie </w:t>
      </w:r>
      <w:r w:rsidR="00682593">
        <w:t>klasycznym</w:t>
      </w:r>
      <w:r w:rsidR="005C4D67">
        <w:t xml:space="preserve">, </w:t>
      </w:r>
      <w:r w:rsidR="00682593" w:rsidRPr="00682593">
        <w:t>polegając</w:t>
      </w:r>
      <w:r w:rsidR="00EC2D5F">
        <w:t>ej</w:t>
      </w:r>
      <w:r w:rsidR="00682593" w:rsidRPr="00682593">
        <w:t xml:space="preserve"> na otwieraniu pozycji w oparciu o określoną liczbę odchyleń od średniej historycznej.</w:t>
      </w:r>
      <w:r w:rsidR="005C4D67">
        <w:t xml:space="preserve"> Tak samo jak w podejściach kointegracyjnych </w:t>
      </w:r>
      <w:r w:rsidR="001D6DBE">
        <w:t>i dystansowych</w:t>
      </w:r>
      <w:r w:rsidR="00682593">
        <w:t>,</w:t>
      </w:r>
      <w:r w:rsidR="001D6DBE">
        <w:t xml:space="preserve"> </w:t>
      </w:r>
      <w:r w:rsidR="00682593">
        <w:t>wykorzystany</w:t>
      </w:r>
      <w:r w:rsidR="001D6DBE">
        <w:t xml:space="preserve"> zosta</w:t>
      </w:r>
      <w:r w:rsidR="00682593">
        <w:t>ł</w:t>
      </w:r>
      <w:r w:rsidR="001D6DBE">
        <w:t xml:space="preserve"> 12-miesięczny okres formacyjny oraz 6-miesięczny okres handlowy.</w:t>
      </w:r>
    </w:p>
    <w:p w14:paraId="33A23559" w14:textId="77777777" w:rsidR="001D6DBE" w:rsidRDefault="001D6DBE" w:rsidP="001D6DBE">
      <w:pPr>
        <w:ind w:firstLine="0"/>
      </w:pPr>
    </w:p>
    <w:p w14:paraId="260CD387" w14:textId="76FE3C79" w:rsidR="000D19F3" w:rsidRDefault="001D6DBE" w:rsidP="001D6DBE">
      <w:r>
        <w:t xml:space="preserve">Pomimo wielu podobieństw strategia znacząco różni się od zdefiniowanych wcześniej podejść dystansowych i korelacyjnych. Otóż, </w:t>
      </w:r>
      <w:r w:rsidR="00D82877">
        <w:t>analizowałem</w:t>
      </w:r>
      <w:r>
        <w:t xml:space="preserve"> jedynie 10 </w:t>
      </w:r>
      <w:r w:rsidR="00BF7CAC">
        <w:t>większych</w:t>
      </w:r>
      <w:r>
        <w:t xml:space="preserve"> spółek technologicznych z indeksu S</w:t>
      </w:r>
      <w:r w:rsidR="00D56AD2">
        <w:t>&amp;P 500, z których skonstruowa</w:t>
      </w:r>
      <w:r w:rsidR="00D82877">
        <w:t>łem</w:t>
      </w:r>
      <w:r w:rsidR="00D56AD2">
        <w:t xml:space="preserve"> 45 par. Nie </w:t>
      </w:r>
      <w:r w:rsidR="00BF7CAC">
        <w:t xml:space="preserve">dokonano tu </w:t>
      </w:r>
      <w:r w:rsidR="00D56AD2">
        <w:t xml:space="preserve"> żadn</w:t>
      </w:r>
      <w:r w:rsidR="00BF7CAC">
        <w:t>ej</w:t>
      </w:r>
      <w:r w:rsidR="00D56AD2">
        <w:t xml:space="preserve"> selekcj</w:t>
      </w:r>
      <w:r w:rsidR="00030CAD">
        <w:t>i</w:t>
      </w:r>
      <w:r w:rsidR="00D56AD2">
        <w:t xml:space="preserve"> par </w:t>
      </w:r>
      <w:r w:rsidR="00030CAD">
        <w:t>w oparciu o</w:t>
      </w:r>
      <w:r w:rsidR="00D56AD2">
        <w:t xml:space="preserve"> kryteri</w:t>
      </w:r>
      <w:r w:rsidR="00030CAD">
        <w:t>a</w:t>
      </w:r>
      <w:r w:rsidR="00D56AD2">
        <w:t xml:space="preserve"> metryki euklidesowej</w:t>
      </w:r>
      <w:r w:rsidR="00C12F57">
        <w:t>,</w:t>
      </w:r>
      <w:r w:rsidR="00D56AD2">
        <w:t xml:space="preserve"> a tym bardziej testów kointegracyjnych</w:t>
      </w:r>
      <w:r w:rsidR="00030CAD">
        <w:t>.</w:t>
      </w:r>
      <w:r w:rsidR="00BF7CAC">
        <w:t xml:space="preserve"> </w:t>
      </w:r>
      <w:r w:rsidR="00030CAD">
        <w:t>O</w:t>
      </w:r>
      <w:r w:rsidR="00BF7CAC">
        <w:t xml:space="preserve">znacza że ceny wybranych firm nie muszą cechować się </w:t>
      </w:r>
      <w:r w:rsidR="00030CAD">
        <w:t>m</w:t>
      </w:r>
      <w:r w:rsidR="00BF7CAC">
        <w:t>ean</w:t>
      </w:r>
      <w:r w:rsidR="00030CAD">
        <w:t>-r</w:t>
      </w:r>
      <w:r w:rsidR="00BF7CAC">
        <w:t>eversion w okresie formacyjnym</w:t>
      </w:r>
      <w:r w:rsidR="00D56AD2">
        <w:t xml:space="preserve">. </w:t>
      </w:r>
    </w:p>
    <w:p w14:paraId="1E803E46" w14:textId="77777777" w:rsidR="000D19F3" w:rsidRDefault="000D19F3" w:rsidP="001D6DBE"/>
    <w:p w14:paraId="401E7C6B" w14:textId="3FA20AA9" w:rsidR="00463321" w:rsidRDefault="00463321" w:rsidP="00463321">
      <w:pPr>
        <w:pStyle w:val="Heading3"/>
      </w:pPr>
      <w:r>
        <w:t>Implementacja strategii</w:t>
      </w:r>
    </w:p>
    <w:p w14:paraId="1B6C9A03" w14:textId="37DF88CB" w:rsidR="00E33F7E" w:rsidRDefault="00BF7CAC" w:rsidP="006169ED">
      <w:r>
        <w:t>Dobrane zostały</w:t>
      </w:r>
      <w:r w:rsidR="00D56AD2">
        <w:t xml:space="preserve"> </w:t>
      </w:r>
      <w:r>
        <w:t>następujące spółki</w:t>
      </w:r>
      <w:r w:rsidR="00EC0DAF">
        <w:t xml:space="preserve"> z sektora technologicznego S&amp;P 500</w:t>
      </w:r>
      <w:r w:rsidR="00D56AD2">
        <w:t xml:space="preserve"> : Apple, Google, Meta,</w:t>
      </w:r>
      <w:r>
        <w:t xml:space="preserve"> AMD, Microsoft, Adobe, Cisco, Oracle, Salesforce. </w:t>
      </w:r>
      <w:r w:rsidR="00EC0DAF">
        <w:t>Implentacja strategii</w:t>
      </w:r>
      <w:r>
        <w:t xml:space="preserve"> zosta</w:t>
      </w:r>
      <w:r w:rsidR="00EC0DAF">
        <w:t>ła dokonana</w:t>
      </w:r>
      <w:r w:rsidR="000D19F3">
        <w:t xml:space="preserve"> w okresie 2022-01-01 do 2023-06-30 z czego 2022-01-01/12-31 to okres formacyjny, a 2023-01-01/06-30 to okres handlowy</w:t>
      </w:r>
      <w:r w:rsidR="000848A5">
        <w:t>.</w:t>
      </w:r>
    </w:p>
    <w:p w14:paraId="22CBE49F" w14:textId="77777777" w:rsidR="00E33F7E" w:rsidRDefault="00E33F7E">
      <w:pPr>
        <w:spacing w:after="160" w:line="259" w:lineRule="auto"/>
        <w:ind w:firstLine="0"/>
        <w:jc w:val="left"/>
      </w:pPr>
      <w:r>
        <w:br w:type="page"/>
      </w:r>
    </w:p>
    <w:p w14:paraId="6CD39778" w14:textId="00F0ACA5" w:rsidR="006169ED" w:rsidRDefault="006169ED" w:rsidP="00E33F7E">
      <w:pPr>
        <w:pStyle w:val="Caption"/>
      </w:pPr>
      <w:bookmarkStart w:id="28" w:name="_Toc204209263"/>
      <w:r>
        <w:lastRenderedPageBreak/>
        <w:t xml:space="preserve">Wykres </w:t>
      </w:r>
      <w:r w:rsidR="005A7D9D">
        <w:fldChar w:fldCharType="begin"/>
      </w:r>
      <w:r w:rsidR="005A7D9D">
        <w:instrText xml:space="preserve"> SEQ Wykres \* ARABIC </w:instrText>
      </w:r>
      <w:r w:rsidR="005A7D9D">
        <w:fldChar w:fldCharType="separate"/>
      </w:r>
      <w:r w:rsidR="005A7D9D">
        <w:rPr>
          <w:noProof/>
        </w:rPr>
        <w:t>3</w:t>
      </w:r>
      <w:r w:rsidR="005A7D9D">
        <w:rPr>
          <w:noProof/>
        </w:rPr>
        <w:fldChar w:fldCharType="end"/>
      </w:r>
      <w:r>
        <w:t xml:space="preserve">. Skumulowane zwroty </w:t>
      </w:r>
      <w:r w:rsidR="00BB1A6F">
        <w:t>spółek w okresie formacyjnym.</w:t>
      </w:r>
      <w:bookmarkEnd w:id="28"/>
    </w:p>
    <w:p w14:paraId="4F23EBE8" w14:textId="1AC96618" w:rsidR="006169ED" w:rsidRDefault="006169ED" w:rsidP="00BB1A6F">
      <w:r w:rsidRPr="006169ED">
        <w:rPr>
          <w:noProof/>
        </w:rPr>
        <w:drawing>
          <wp:inline distT="0" distB="0" distL="0" distR="0" wp14:anchorId="08C40B3F" wp14:editId="2D335F85">
            <wp:extent cx="4679315" cy="2654935"/>
            <wp:effectExtent l="0" t="0" r="0" b="0"/>
            <wp:docPr id="761747917" name="Picture 2" descr="A graph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47917" name="Picture 2" descr="A graph with colorful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D993B" w14:textId="6C35B7D9" w:rsidR="00BB1A6F" w:rsidRDefault="00BB1A6F" w:rsidP="00BB1A6F">
      <w:pPr>
        <w:pStyle w:val="Caption"/>
      </w:pPr>
      <w:bookmarkStart w:id="29" w:name="_Toc204209264"/>
      <w:commentRangeStart w:id="30"/>
      <w:r>
        <w:t xml:space="preserve">Wykres </w:t>
      </w:r>
      <w:r w:rsidR="005A7D9D">
        <w:fldChar w:fldCharType="begin"/>
      </w:r>
      <w:r w:rsidR="005A7D9D">
        <w:instrText xml:space="preserve"> SEQ Wykres \* ARABIC </w:instrText>
      </w:r>
      <w:r w:rsidR="005A7D9D">
        <w:fldChar w:fldCharType="separate"/>
      </w:r>
      <w:r w:rsidR="005A7D9D">
        <w:rPr>
          <w:noProof/>
        </w:rPr>
        <w:t>4</w:t>
      </w:r>
      <w:r w:rsidR="005A7D9D">
        <w:rPr>
          <w:noProof/>
        </w:rPr>
        <w:fldChar w:fldCharType="end"/>
      </w:r>
      <w:r>
        <w:t xml:space="preserve">. Skumulowane zwroty spółek w okresie </w:t>
      </w:r>
      <w:r w:rsidR="00463321">
        <w:t>handlowym.</w:t>
      </w:r>
      <w:bookmarkEnd w:id="29"/>
      <w:commentRangeEnd w:id="30"/>
      <w:r w:rsidR="008E6936">
        <w:rPr>
          <w:rStyle w:val="CommentReference"/>
        </w:rPr>
        <w:commentReference w:id="30"/>
      </w:r>
    </w:p>
    <w:p w14:paraId="6DEE8653" w14:textId="041906BB" w:rsidR="006169ED" w:rsidRPr="006169ED" w:rsidRDefault="006169ED" w:rsidP="006169ED">
      <w:r w:rsidRPr="006169ED">
        <w:rPr>
          <w:noProof/>
        </w:rPr>
        <w:drawing>
          <wp:inline distT="0" distB="0" distL="0" distR="0" wp14:anchorId="2B581A1D" wp14:editId="4E99FA02">
            <wp:extent cx="4679315" cy="2654935"/>
            <wp:effectExtent l="0" t="0" r="0" b="0"/>
            <wp:docPr id="857102044" name="Picture 6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2044" name="Picture 6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49399" w14:textId="4C5CAB5C" w:rsidR="006169ED" w:rsidRPr="006169ED" w:rsidRDefault="006169ED" w:rsidP="006169ED"/>
    <w:p w14:paraId="178F4ED7" w14:textId="45EC2378" w:rsidR="00E33F7E" w:rsidRDefault="00BB1A6F" w:rsidP="00E33F7E">
      <w:r>
        <w:t xml:space="preserve">Już na tym etapie można zauważyć zupełnie różne trendy skumulowanych zwrotów. W okresie formacyjnym wartości spółek potrafiły spadać nawet poniżej 40% ich wartości z początku </w:t>
      </w:r>
      <w:r w:rsidR="00D454E1">
        <w:t>roku</w:t>
      </w:r>
      <w:r w:rsidR="00E33F7E">
        <w:t xml:space="preserve">, a żadna nie skończyła </w:t>
      </w:r>
      <w:r w:rsidR="00D454E1">
        <w:t>go</w:t>
      </w:r>
      <w:r w:rsidR="00E33F7E">
        <w:t xml:space="preserve"> na plusie.</w:t>
      </w:r>
    </w:p>
    <w:p w14:paraId="26A3FDF2" w14:textId="77777777" w:rsidR="00E33F7E" w:rsidRDefault="00E33F7E" w:rsidP="00E33F7E"/>
    <w:p w14:paraId="08BA206F" w14:textId="1262EBC4" w:rsidR="00430DF3" w:rsidRDefault="00E33F7E" w:rsidP="000308D4">
      <w:r>
        <w:t>W okresie handlowym</w:t>
      </w:r>
      <w:r w:rsidR="00D454E1">
        <w:t xml:space="preserve"> mamy do czynienia z zupełnie</w:t>
      </w:r>
      <w:r>
        <w:t xml:space="preserve"> przeciwn</w:t>
      </w:r>
      <w:r w:rsidR="00D454E1">
        <w:t>ą</w:t>
      </w:r>
      <w:r>
        <w:t xml:space="preserve"> sytuacj</w:t>
      </w:r>
      <w:r w:rsidR="00D454E1">
        <w:t>ą.</w:t>
      </w:r>
      <w:r>
        <w:t xml:space="preserve"> </w:t>
      </w:r>
      <w:r w:rsidR="00D454E1">
        <w:t>T</w:t>
      </w:r>
      <w:r>
        <w:t>rend jest wyraźnie wzrostowy względem początku</w:t>
      </w:r>
      <w:r w:rsidR="00D454E1">
        <w:t xml:space="preserve"> roku</w:t>
      </w:r>
      <w:r w:rsidR="000308D4">
        <w:t xml:space="preserve">, gdzie niektóre spółki urosły aż 2 lub 3-krotnie. Żadna spółka nie zeszła poniżej swojej wartości </w:t>
      </w:r>
      <w:r w:rsidR="00030CAD">
        <w:t>z</w:t>
      </w:r>
      <w:r w:rsidR="000308D4">
        <w:t xml:space="preserve"> początku roku</w:t>
      </w:r>
      <w:r w:rsidR="00030CAD">
        <w:t xml:space="preserve"> 2023</w:t>
      </w:r>
      <w:r w:rsidR="000308D4">
        <w:t>. Pytanie pozostaje, czy pomimo silnych zmian trendu wciąż pomiędzy tymi spółkami utrzymywała się jakaś zależność cenowa, na której strategia mo</w:t>
      </w:r>
      <w:r w:rsidR="00030CAD">
        <w:t>gła</w:t>
      </w:r>
      <w:r w:rsidR="000308D4">
        <w:t xml:space="preserve"> wygenerować zyski. </w:t>
      </w:r>
      <w:r>
        <w:t xml:space="preserve">  </w:t>
      </w:r>
    </w:p>
    <w:p w14:paraId="2A24366C" w14:textId="77777777" w:rsidR="00BF7CAC" w:rsidRDefault="00BF7CAC" w:rsidP="001D6DBE"/>
    <w:p w14:paraId="2125D6CC" w14:textId="77FB70C7" w:rsidR="00284D4F" w:rsidRDefault="000848A5" w:rsidP="000848A5">
      <w:r>
        <w:t>W okresie formacyjnym dla wszystkich par policzono</w:t>
      </w:r>
      <w:r w:rsidR="00430DF3">
        <w:t xml:space="preserve"> średnią historyczną oraz historyczne odchylenia standardowe</w:t>
      </w:r>
      <w:r>
        <w:t xml:space="preserve"> różnic skumulowanych zwrotów z </w:t>
      </w:r>
      <w:r w:rsidR="00430DF3">
        <w:t>analizowanych aktywów</w:t>
      </w:r>
      <w:r w:rsidR="000308D4">
        <w:t xml:space="preserve"> podobnie jak realizował to Gatev</w:t>
      </w:r>
      <w:r w:rsidR="00030CAD">
        <w:t xml:space="preserve"> (2006</w:t>
      </w:r>
      <w:r w:rsidR="00EA5296">
        <w:t>, s. 20-30</w:t>
      </w:r>
      <w:r w:rsidR="00030CAD">
        <w:t>)</w:t>
      </w:r>
      <w:r w:rsidR="00430DF3">
        <w:t xml:space="preserve">. </w:t>
      </w:r>
    </w:p>
    <w:p w14:paraId="3B444C63" w14:textId="77777777" w:rsidR="000308D4" w:rsidRDefault="000308D4" w:rsidP="000848A5"/>
    <w:commentRangeStart w:id="31"/>
    <w:p w14:paraId="3DC92601" w14:textId="77777777" w:rsidR="000308D4" w:rsidRDefault="00000000" w:rsidP="000308D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ij,t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</m:oMath>
      </m:oMathPara>
    </w:p>
    <w:p w14:paraId="68C3B925" w14:textId="77777777" w:rsidR="000308D4" w:rsidRPr="001F0071" w:rsidRDefault="00000000" w:rsidP="000308D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ij,t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37A2B6E7" w14:textId="77777777" w:rsidR="000308D4" w:rsidRPr="004B3595" w:rsidRDefault="00000000" w:rsidP="000308D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ij,t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e>
          </m:nary>
          <w:commentRangeEnd w:id="31"/>
          <m:r>
            <m:rPr>
              <m:sty m:val="p"/>
            </m:rPr>
            <w:rPr>
              <w:rStyle w:val="CommentReference"/>
            </w:rPr>
            <w:commentReference w:id="31"/>
          </m:r>
        </m:oMath>
      </m:oMathPara>
    </w:p>
    <w:p w14:paraId="561665D3" w14:textId="77777777" w:rsidR="00463321" w:rsidRDefault="00463321" w:rsidP="00463321">
      <w:pPr>
        <w:pStyle w:val="Pierwszyakapit"/>
      </w:pPr>
      <w:r>
        <w:t>Gdzie:</w:t>
      </w:r>
    </w:p>
    <w:p w14:paraId="344D3E06" w14:textId="77777777" w:rsidR="00463321" w:rsidRPr="004B3595" w:rsidRDefault="00000000" w:rsidP="00463321">
      <w:pPr>
        <w:pStyle w:val="Pierwszyakapi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ij,t</m:t>
            </m:r>
          </m:sub>
        </m:sSub>
      </m:oMath>
      <w:r w:rsidR="00463321">
        <w:rPr>
          <w:rFonts w:eastAsiaTheme="minorEastAsia"/>
        </w:rPr>
        <w:t xml:space="preserve"> – różnica skumulowanych zwrotów</w:t>
      </w:r>
    </w:p>
    <w:p w14:paraId="12513503" w14:textId="77777777" w:rsidR="00463321" w:rsidRDefault="00000000" w:rsidP="00463321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63321">
        <w:rPr>
          <w:rFonts w:eastAsiaTheme="minorEastAsia"/>
        </w:rPr>
        <w:t xml:space="preserve"> – średnia różnicy skumulowanych zwrotów w okresie formacyjnym</w:t>
      </w:r>
    </w:p>
    <w:p w14:paraId="506B7CD8" w14:textId="77777777" w:rsidR="00463321" w:rsidRDefault="00000000" w:rsidP="00463321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63321">
        <w:rPr>
          <w:rFonts w:eastAsiaTheme="minorEastAsia"/>
        </w:rPr>
        <w:t xml:space="preserve"> – odchylenie standardowe skumulowanych zwrotów w okresie formacyjnym</w:t>
      </w:r>
    </w:p>
    <w:p w14:paraId="2A4F2F18" w14:textId="77777777" w:rsidR="00463321" w:rsidRDefault="00463321" w:rsidP="00463321">
      <w:pPr>
        <w:ind w:firstLine="0"/>
        <w:rPr>
          <w:rFonts w:eastAsiaTheme="minorEastAsia"/>
        </w:rPr>
      </w:pPr>
    </w:p>
    <w:p w14:paraId="1B5BB278" w14:textId="204D1305" w:rsidR="00D454E1" w:rsidRDefault="00D454E1" w:rsidP="00D454E1">
      <w:r>
        <w:t>W oparciu o historyczne średnie</w:t>
      </w:r>
      <w:r w:rsidR="00463321">
        <w:t xml:space="preserve"> i odchyle</w:t>
      </w:r>
      <w:r>
        <w:t>nia</w:t>
      </w:r>
      <w:r w:rsidR="00463321">
        <w:t xml:space="preserve"> standardow</w:t>
      </w:r>
      <w:r>
        <w:t>e z okresu formacyjnego</w:t>
      </w:r>
      <w:r w:rsidR="00463321">
        <w:t xml:space="preserve"> </w:t>
      </w:r>
      <w:r>
        <w:t>wylicz</w:t>
      </w:r>
      <w:r w:rsidR="00EC0DAF">
        <w:t>any</w:t>
      </w:r>
      <w:r>
        <w:t xml:space="preserve"> jest z-score, informujący nas o liczbie odchyleń od średniej.</w:t>
      </w:r>
    </w:p>
    <w:p w14:paraId="63DC7AB7" w14:textId="77777777" w:rsidR="00D454E1" w:rsidRDefault="00D454E1" w:rsidP="00D454E1">
      <w:pPr>
        <w:jc w:val="center"/>
      </w:pPr>
    </w:p>
    <w:p w14:paraId="2FD88D7E" w14:textId="77777777" w:rsidR="00D454E1" w:rsidRPr="00F15894" w:rsidRDefault="00000000" w:rsidP="00D454E1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z_score</m:t>
              </m:r>
            </m:e>
            <m:sub>
              <m:r>
                <w:rPr>
                  <w:rFonts w:ascii="Cambria Math" w:hAnsi="Cambria Math"/>
                </w:rPr>
                <m:t>ij,t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ij,t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</m:oMath>
      </m:oMathPara>
    </w:p>
    <w:p w14:paraId="7B9000C1" w14:textId="77777777" w:rsidR="00C135D7" w:rsidRDefault="00C135D7" w:rsidP="00C135D7"/>
    <w:p w14:paraId="27CD20C0" w14:textId="5A358B83" w:rsidR="0094561D" w:rsidRDefault="00C135D7" w:rsidP="00C135D7">
      <w:r>
        <w:t xml:space="preserve">W okresie historycznym liczone są ponownie różnice skumulowanych zwrotów. </w:t>
      </w:r>
      <w:r w:rsidR="0094561D">
        <w:t>Na ich bazie razem ze średnią i odchyleni</w:t>
      </w:r>
      <w:r w:rsidR="004714A9">
        <w:t>em</w:t>
      </w:r>
      <w:r w:rsidR="0094561D">
        <w:t xml:space="preserve"> standardowym wyliczany jest z-score, który jest podstawą do generowania flag:</w:t>
      </w:r>
    </w:p>
    <w:p w14:paraId="36AA1F9E" w14:textId="77777777" w:rsidR="0094561D" w:rsidRDefault="0094561D" w:rsidP="00C135D7"/>
    <w:p w14:paraId="13E98A83" w14:textId="77777777" w:rsidR="008B480C" w:rsidRDefault="0094561D" w:rsidP="0094561D">
      <w:pPr>
        <w:pStyle w:val="ListParagraph"/>
        <w:numPr>
          <w:ilvl w:val="0"/>
          <w:numId w:val="30"/>
        </w:numPr>
      </w:pPr>
      <w:r>
        <w:t>Jeżeli z-score jest większy od dwóch</w:t>
      </w:r>
      <w:r w:rsidR="008B480C">
        <w:t>, generowana jest flaga LONG_SHORT</w:t>
      </w:r>
    </w:p>
    <w:p w14:paraId="707C6F03" w14:textId="77777777" w:rsidR="008B480C" w:rsidRDefault="008B480C" w:rsidP="008B480C">
      <w:pPr>
        <w:pStyle w:val="ListParagraph"/>
        <w:numPr>
          <w:ilvl w:val="0"/>
          <w:numId w:val="30"/>
        </w:numPr>
      </w:pPr>
      <w:r>
        <w:t>Jeżeli z-score jest niższy od minus dwóch, generowana jest flaga SHORT_LONG</w:t>
      </w:r>
    </w:p>
    <w:p w14:paraId="273DF470" w14:textId="77777777" w:rsidR="008B480C" w:rsidRDefault="008B480C" w:rsidP="008B480C">
      <w:pPr>
        <w:pStyle w:val="ListParagraph"/>
        <w:numPr>
          <w:ilvl w:val="0"/>
          <w:numId w:val="30"/>
        </w:numPr>
      </w:pPr>
      <w:r>
        <w:t>W pozostałych przypadkach nie są oznaczane żadne flagi</w:t>
      </w:r>
    </w:p>
    <w:p w14:paraId="3B666DD2" w14:textId="77777777" w:rsidR="008B480C" w:rsidRDefault="008B480C" w:rsidP="008B480C">
      <w:pPr>
        <w:ind w:firstLine="0"/>
      </w:pPr>
    </w:p>
    <w:p w14:paraId="33BD255D" w14:textId="77777777" w:rsidR="005B4D40" w:rsidRDefault="008B480C" w:rsidP="00BE703D">
      <w:r>
        <w:lastRenderedPageBreak/>
        <w:t xml:space="preserve">Na skutek tego powstaje 45 szeregów czasowych </w:t>
      </w:r>
      <w:r w:rsidR="00BE703D">
        <w:t>z z-scorami różnic skumulowanych zwrotów wraz z oznaczonymi flagami</w:t>
      </w:r>
      <w:r w:rsidR="005B4D40">
        <w:t xml:space="preserve">. W ostatnim etapie tworzone są osobne portfele dla każdej pary i symulowane jest zakładanie pozycji w oparciu „napotkane” przez portfel flagi. </w:t>
      </w:r>
    </w:p>
    <w:p w14:paraId="4D6633D7" w14:textId="77777777" w:rsidR="005B4D40" w:rsidRDefault="005B4D40" w:rsidP="00BE703D"/>
    <w:p w14:paraId="640F752B" w14:textId="5E8A96F8" w:rsidR="005B4D40" w:rsidRDefault="005B4D40" w:rsidP="00BE703D">
      <w:r>
        <w:t>Każdy portfel iteruje</w:t>
      </w:r>
      <w:r w:rsidR="007E493D">
        <w:t xml:space="preserve"> po</w:t>
      </w:r>
      <w:r>
        <w:t xml:space="preserve"> dni</w:t>
      </w:r>
      <w:r w:rsidR="007E493D">
        <w:t>ach okresu handlowego</w:t>
      </w:r>
      <w:r>
        <w:t xml:space="preserve"> i sprawdza flag</w:t>
      </w:r>
      <w:r w:rsidR="007E493D">
        <w:t>i</w:t>
      </w:r>
      <w:r>
        <w:t>. To jak się zachowa na skutek zobaczenia flagi zależy od tego jaka jest jego aktualna pozycja:</w:t>
      </w:r>
    </w:p>
    <w:p w14:paraId="1364B56E" w14:textId="77777777" w:rsidR="005B4D40" w:rsidRDefault="005B4D40" w:rsidP="00BE703D"/>
    <w:p w14:paraId="4BD31A53" w14:textId="04227370" w:rsidR="00DE6D79" w:rsidRDefault="00FE5F6B" w:rsidP="005B4D40">
      <w:pPr>
        <w:pStyle w:val="ListParagraph"/>
        <w:numPr>
          <w:ilvl w:val="0"/>
          <w:numId w:val="31"/>
        </w:numPr>
      </w:pPr>
      <w:r>
        <w:t>g</w:t>
      </w:r>
      <w:r w:rsidR="005B4D40">
        <w:t>dy portfel nie ma założonych żadnych pozycji</w:t>
      </w:r>
      <w:r>
        <w:t>,</w:t>
      </w:r>
      <w:r w:rsidR="005B4D40">
        <w:t xml:space="preserve"> to zakłada pozycję pierwszej flagi jaką</w:t>
      </w:r>
      <w:r w:rsidR="00DE6D79">
        <w:t xml:space="preserve"> napotka</w:t>
      </w:r>
    </w:p>
    <w:p w14:paraId="415899C1" w14:textId="38B34DF4" w:rsidR="00AB05F8" w:rsidRDefault="00FE5F6B" w:rsidP="005B4D40">
      <w:pPr>
        <w:pStyle w:val="ListParagraph"/>
        <w:numPr>
          <w:ilvl w:val="0"/>
          <w:numId w:val="31"/>
        </w:numPr>
      </w:pPr>
      <w:r>
        <w:t>g</w:t>
      </w:r>
      <w:r w:rsidR="00DE6D79">
        <w:t>dy portfel ma aktualną pozycję LONG_SHORT, czyli ma założoną pozycje długą na pierwsze aktywo w parze i krótką na drugie aktywo w parze,</w:t>
      </w:r>
      <w:r w:rsidR="00AB05F8">
        <w:t xml:space="preserve"> to wyjdzie z niej tylko wtedy, gdy z-score wejdzie powyżej 0 lub algorytm dojdzie do końca okresu handlowego</w:t>
      </w:r>
    </w:p>
    <w:p w14:paraId="760819F4" w14:textId="51C2614E" w:rsidR="00D454E1" w:rsidRDefault="00FE5F6B" w:rsidP="00AB05F8">
      <w:pPr>
        <w:pStyle w:val="ListParagraph"/>
        <w:numPr>
          <w:ilvl w:val="0"/>
          <w:numId w:val="31"/>
        </w:numPr>
      </w:pPr>
      <w:r>
        <w:t>g</w:t>
      </w:r>
      <w:r w:rsidR="00AB05F8">
        <w:t>dy portfel ma aktualną pozycję SHORT_LONG, czyli ma założoną pozycje krótką na pierwsze aktywo w parze i długą na drugie aktywo w parze, to wyjdzie z niej tylko wtedy, gdy z-score zejdzie poniżej 0 lub algorytm dojdzie do końca okresu handlowego</w:t>
      </w:r>
    </w:p>
    <w:p w14:paraId="116B65B0" w14:textId="77777777" w:rsidR="00712E94" w:rsidRDefault="00712E94" w:rsidP="00AB05F8"/>
    <w:p w14:paraId="15B0B771" w14:textId="25BDD484" w:rsidR="00712E94" w:rsidRDefault="00712E94" w:rsidP="00AB05F8">
      <w:r>
        <w:t>W trakcie symulacji portfeli zauważone były trzy przypadki:</w:t>
      </w:r>
    </w:p>
    <w:p w14:paraId="3C176C7F" w14:textId="515AB969" w:rsidR="00712E94" w:rsidRDefault="00712E94" w:rsidP="00712E94">
      <w:pPr>
        <w:pStyle w:val="ListParagraph"/>
        <w:numPr>
          <w:ilvl w:val="0"/>
          <w:numId w:val="32"/>
        </w:numPr>
      </w:pPr>
      <w:r>
        <w:t>Z-score zszedł poniżej -2, a następnie spadał coraz niżej</w:t>
      </w:r>
    </w:p>
    <w:p w14:paraId="4E8D0A87" w14:textId="5658004D" w:rsidR="00712E94" w:rsidRDefault="00712E94" w:rsidP="00712E94">
      <w:pPr>
        <w:pStyle w:val="ListParagraph"/>
        <w:numPr>
          <w:ilvl w:val="0"/>
          <w:numId w:val="32"/>
        </w:numPr>
      </w:pPr>
      <w:r>
        <w:t>Z-score wszedł powyżej 2, a następnie rósł coraz wyżej</w:t>
      </w:r>
    </w:p>
    <w:p w14:paraId="380C1B8B" w14:textId="77777777" w:rsidR="00712E94" w:rsidRDefault="00712E94" w:rsidP="00712E94">
      <w:pPr>
        <w:pStyle w:val="ListParagraph"/>
        <w:numPr>
          <w:ilvl w:val="0"/>
          <w:numId w:val="32"/>
        </w:numPr>
      </w:pPr>
      <w:r>
        <w:t>Z-score nie odchodził zbyt daleko od średniej ale pojawiały się u niego tymczasowe odchylenia o więcej/mniej niż 2/-2</w:t>
      </w:r>
    </w:p>
    <w:p w14:paraId="5D0DEF01" w14:textId="77777777" w:rsidR="004714A9" w:rsidRDefault="004714A9" w:rsidP="004714A9"/>
    <w:p w14:paraId="1CEF1327" w14:textId="61B13916" w:rsidR="004714A9" w:rsidRDefault="00712E94" w:rsidP="00712E94">
      <w:r>
        <w:t>Warto zauważyć że nie trafił się ani jeden</w:t>
      </w:r>
      <w:r w:rsidR="00BB166D">
        <w:t xml:space="preserve"> możliwy</w:t>
      </w:r>
      <w:r>
        <w:t xml:space="preserve"> przypadek</w:t>
      </w:r>
      <w:r w:rsidR="00BB166D">
        <w:t>, w którym nie założono żadnej pozycji przez cały okres handlowy.</w:t>
      </w:r>
      <w:r w:rsidR="007E493D">
        <w:t xml:space="preserve"> </w:t>
      </w:r>
      <w:r w:rsidR="004714A9">
        <w:t>Poniżej prezentowane są przykłady tych 3 wariantów.</w:t>
      </w:r>
      <w:r w:rsidR="00BB166D">
        <w:t xml:space="preserve"> Czerwone linie przerywane oznaczają próg przekroczenia dwóch odchyleń standardowych od średniej.</w:t>
      </w:r>
    </w:p>
    <w:p w14:paraId="17049855" w14:textId="77777777" w:rsidR="004714A9" w:rsidRDefault="004714A9">
      <w:pPr>
        <w:spacing w:after="160" w:line="259" w:lineRule="auto"/>
        <w:ind w:firstLine="0"/>
        <w:jc w:val="left"/>
      </w:pPr>
      <w:r>
        <w:br w:type="page"/>
      </w:r>
    </w:p>
    <w:p w14:paraId="7688F17D" w14:textId="4C71665E" w:rsidR="004714A9" w:rsidRDefault="004714A9" w:rsidP="004714A9">
      <w:pPr>
        <w:pStyle w:val="Caption"/>
      </w:pPr>
      <w:bookmarkStart w:id="32" w:name="_Toc204209265"/>
      <w:r>
        <w:lastRenderedPageBreak/>
        <w:t xml:space="preserve">Wykres </w:t>
      </w:r>
      <w:r w:rsidR="005A7D9D">
        <w:fldChar w:fldCharType="begin"/>
      </w:r>
      <w:r w:rsidR="005A7D9D">
        <w:instrText xml:space="preserve"> SEQ Wykres \* ARABIC </w:instrText>
      </w:r>
      <w:r w:rsidR="005A7D9D">
        <w:fldChar w:fldCharType="separate"/>
      </w:r>
      <w:r w:rsidR="005A7D9D">
        <w:rPr>
          <w:noProof/>
        </w:rPr>
        <w:t>5</w:t>
      </w:r>
      <w:r w:rsidR="005A7D9D">
        <w:rPr>
          <w:noProof/>
        </w:rPr>
        <w:fldChar w:fldCharType="end"/>
      </w:r>
      <w:r>
        <w:t xml:space="preserve">. </w:t>
      </w:r>
      <w:r w:rsidR="00BB166D">
        <w:t>Wykres spreadu Apple i Mety w okresie handlowym</w:t>
      </w:r>
      <w:bookmarkEnd w:id="32"/>
    </w:p>
    <w:p w14:paraId="649C4326" w14:textId="4AA55A34" w:rsidR="004714A9" w:rsidRDefault="00BB166D" w:rsidP="004714A9">
      <w:pPr>
        <w:pStyle w:val="Caption"/>
      </w:pPr>
      <w:r w:rsidRPr="004714A9">
        <w:rPr>
          <w:noProof/>
        </w:rPr>
        <w:drawing>
          <wp:inline distT="0" distB="0" distL="0" distR="0" wp14:anchorId="44825947" wp14:editId="5405E987">
            <wp:extent cx="3794041" cy="2152650"/>
            <wp:effectExtent l="0" t="0" r="0" b="0"/>
            <wp:docPr id="210090177" name="Picture 4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177" name="Picture 4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70" cy="215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473B0" w14:textId="77777777" w:rsidR="004714A9" w:rsidRPr="004714A9" w:rsidRDefault="004714A9" w:rsidP="004714A9"/>
    <w:p w14:paraId="277CA8F5" w14:textId="024A6412" w:rsidR="004714A9" w:rsidRDefault="004714A9" w:rsidP="004714A9">
      <w:pPr>
        <w:pStyle w:val="Caption"/>
      </w:pPr>
      <w:r>
        <w:t xml:space="preserve"> </w:t>
      </w:r>
      <w:bookmarkStart w:id="33" w:name="_Toc204209266"/>
      <w:r>
        <w:t xml:space="preserve">Wykres </w:t>
      </w:r>
      <w:r w:rsidR="005A7D9D">
        <w:fldChar w:fldCharType="begin"/>
      </w:r>
      <w:r w:rsidR="005A7D9D">
        <w:instrText xml:space="preserve"> SEQ Wykres \* ARABIC </w:instrText>
      </w:r>
      <w:r w:rsidR="005A7D9D">
        <w:fldChar w:fldCharType="separate"/>
      </w:r>
      <w:r w:rsidR="005A7D9D">
        <w:rPr>
          <w:noProof/>
        </w:rPr>
        <w:t>6</w:t>
      </w:r>
      <w:r w:rsidR="005A7D9D">
        <w:rPr>
          <w:noProof/>
        </w:rPr>
        <w:fldChar w:fldCharType="end"/>
      </w:r>
      <w:r>
        <w:t xml:space="preserve">. </w:t>
      </w:r>
      <w:r w:rsidR="00BB166D">
        <w:t>Wykres spreadu Apple i Google w okresie handlowym</w:t>
      </w:r>
      <w:bookmarkEnd w:id="33"/>
    </w:p>
    <w:p w14:paraId="7B2842BC" w14:textId="1E491E66" w:rsidR="004714A9" w:rsidRDefault="00BB166D" w:rsidP="004714A9">
      <w:r w:rsidRPr="00BB166D">
        <w:rPr>
          <w:noProof/>
        </w:rPr>
        <w:drawing>
          <wp:inline distT="0" distB="0" distL="0" distR="0" wp14:anchorId="761FEDD7" wp14:editId="068725A2">
            <wp:extent cx="3780477" cy="2152650"/>
            <wp:effectExtent l="0" t="0" r="0" b="0"/>
            <wp:docPr id="3597869" name="Picture 6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69" name="Picture 6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12" cy="215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0538D" w14:textId="7C10A60F" w:rsidR="00BB166D" w:rsidRPr="004714A9" w:rsidRDefault="00BB166D" w:rsidP="004714A9"/>
    <w:p w14:paraId="0152947F" w14:textId="36E15189" w:rsidR="00BB166D" w:rsidRPr="007C6528" w:rsidRDefault="004714A9" w:rsidP="007C6528">
      <w:pPr>
        <w:pStyle w:val="Caption"/>
      </w:pPr>
      <w:bookmarkStart w:id="34" w:name="_Toc204209267"/>
      <w:r w:rsidRPr="007C6528">
        <w:t xml:space="preserve">Wykres </w:t>
      </w:r>
      <w:r w:rsidR="005A7D9D">
        <w:fldChar w:fldCharType="begin"/>
      </w:r>
      <w:r w:rsidR="005A7D9D">
        <w:instrText xml:space="preserve"> SEQ Wykres \* ARABIC </w:instrText>
      </w:r>
      <w:r w:rsidR="005A7D9D">
        <w:fldChar w:fldCharType="separate"/>
      </w:r>
      <w:r w:rsidR="005A7D9D" w:rsidRPr="007C6528">
        <w:t>7</w:t>
      </w:r>
      <w:r w:rsidR="005A7D9D">
        <w:fldChar w:fldCharType="end"/>
      </w:r>
      <w:r w:rsidRPr="007C6528">
        <w:t xml:space="preserve">. </w:t>
      </w:r>
      <w:r w:rsidR="00BB166D" w:rsidRPr="007C6528">
        <w:t>Wykres spreadu Nvidii i Adobe w okresie handlowym.</w:t>
      </w:r>
      <w:bookmarkEnd w:id="34"/>
    </w:p>
    <w:p w14:paraId="60D05666" w14:textId="338F7593" w:rsidR="00BB166D" w:rsidRDefault="00BB166D" w:rsidP="00BB166D">
      <w:r w:rsidRPr="004714A9">
        <w:rPr>
          <w:noProof/>
          <w:sz w:val="20"/>
          <w:szCs w:val="20"/>
        </w:rPr>
        <w:drawing>
          <wp:inline distT="0" distB="0" distL="0" distR="0" wp14:anchorId="219E5F2C" wp14:editId="57F4C2B2">
            <wp:extent cx="3676650" cy="2086046"/>
            <wp:effectExtent l="0" t="0" r="0" b="9525"/>
            <wp:docPr id="2016633698" name="Picture 2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33698" name="Picture 2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713" cy="208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A8528" w14:textId="274F4D40" w:rsidR="007E493D" w:rsidRDefault="007E493D" w:rsidP="008F364A">
      <w:pPr>
        <w:ind w:firstLine="0"/>
      </w:pPr>
    </w:p>
    <w:p w14:paraId="48DAFE54" w14:textId="6F9D2B06" w:rsidR="00BB166D" w:rsidRDefault="00A54F49" w:rsidP="00BB166D">
      <w:pPr>
        <w:pStyle w:val="Heading3"/>
      </w:pPr>
      <w:r>
        <w:lastRenderedPageBreak/>
        <w:t>Rezultaty</w:t>
      </w:r>
    </w:p>
    <w:p w14:paraId="63CC191F" w14:textId="2F6D2F20" w:rsidR="004F4ED0" w:rsidRDefault="00ED39D9" w:rsidP="00ED39D9">
      <w:pPr>
        <w:ind w:firstLine="0"/>
      </w:pPr>
      <w:r>
        <w:t>W trakcie symulacj</w:t>
      </w:r>
      <w:r w:rsidR="00B75C45">
        <w:t>i</w:t>
      </w:r>
      <w:r w:rsidR="00BD7C80">
        <w:t xml:space="preserve"> dla </w:t>
      </w:r>
      <w:commentRangeStart w:id="35"/>
      <w:r w:rsidR="00BD7C80">
        <w:t>każdego portfela</w:t>
      </w:r>
      <w:r>
        <w:t xml:space="preserve"> </w:t>
      </w:r>
      <w:commentRangeEnd w:id="35"/>
      <w:r w:rsidR="00A2727E">
        <w:rPr>
          <w:rStyle w:val="CommentReference"/>
        </w:rPr>
        <w:commentReference w:id="35"/>
      </w:r>
      <w:r w:rsidR="00BD7C80">
        <w:t>zlicz</w:t>
      </w:r>
      <w:r w:rsidR="008F364A">
        <w:t xml:space="preserve">ono osobno </w:t>
      </w:r>
      <w:r w:rsidR="004F4ED0">
        <w:t>wszystkie zwroty, które zaszły na skutek zamykania pozycji. Z 45 wybranych par jedynie 9 chociaż raz miało odchylenie</w:t>
      </w:r>
      <w:r w:rsidR="007A592B">
        <w:t xml:space="preserve"> od parytetu</w:t>
      </w:r>
      <w:r w:rsidR="004F4ED0">
        <w:t xml:space="preserve">, po którym zbiegło się z powrotem do </w:t>
      </w:r>
      <w:r w:rsidR="006C4B34">
        <w:t>parytetu (para zbieżna)</w:t>
      </w:r>
      <w:r w:rsidR="004F4ED0">
        <w:t>.</w:t>
      </w:r>
      <w:r w:rsidR="001F6F0C">
        <w:t xml:space="preserve"> Wśród par zbieżnych dokonane zostały 22 transakcje, czyli </w:t>
      </w:r>
      <w:r w:rsidR="006C4B34">
        <w:t xml:space="preserve">przeciętnie około </w:t>
      </w:r>
      <w:r w:rsidR="001F6F0C">
        <w:t>2</w:t>
      </w:r>
      <w:r w:rsidR="006C4B34">
        <w:t>,</w:t>
      </w:r>
      <w:r w:rsidR="001F6F0C">
        <w:t>5 transakcji na jedną parę. Stanowią</w:t>
      </w:r>
      <w:r w:rsidR="00244FDD">
        <w:t xml:space="preserve"> on zatem 38% wszystkich dokonanych transakcji wśród wszystkich par.</w:t>
      </w:r>
      <w:r w:rsidR="001F6F0C">
        <w:t xml:space="preserve"> </w:t>
      </w:r>
    </w:p>
    <w:p w14:paraId="3B730A2D" w14:textId="77777777" w:rsidR="004F4ED0" w:rsidRDefault="004F4ED0" w:rsidP="00ED39D9">
      <w:pPr>
        <w:ind w:firstLine="0"/>
      </w:pPr>
    </w:p>
    <w:p w14:paraId="169BF57F" w14:textId="021F5C88" w:rsidR="004F4ED0" w:rsidRDefault="004F4ED0" w:rsidP="004F4ED0">
      <w:pPr>
        <w:pStyle w:val="Caption"/>
      </w:pPr>
      <w:bookmarkStart w:id="36" w:name="_Toc204209030"/>
      <w:r>
        <w:t xml:space="preserve">Tabela </w:t>
      </w:r>
      <w:r w:rsidR="007C6528">
        <w:fldChar w:fldCharType="begin"/>
      </w:r>
      <w:r w:rsidR="007C6528">
        <w:instrText xml:space="preserve"> SEQ Tabela \* ARABIC </w:instrText>
      </w:r>
      <w:r w:rsidR="007C6528">
        <w:fldChar w:fldCharType="separate"/>
      </w:r>
      <w:r w:rsidR="007C6528">
        <w:rPr>
          <w:noProof/>
        </w:rPr>
        <w:t>1</w:t>
      </w:r>
      <w:r w:rsidR="007C6528">
        <w:rPr>
          <w:noProof/>
        </w:rPr>
        <w:fldChar w:fldCharType="end"/>
      </w:r>
      <w:r>
        <w:t>. Statystyki dotyczące liczby wykonanych transa</w:t>
      </w:r>
      <w:r w:rsidR="00C66C11">
        <w:t>k</w:t>
      </w:r>
      <w:r>
        <w:t>cji</w:t>
      </w:r>
      <w:r w:rsidR="004160E2">
        <w:t>.</w:t>
      </w:r>
      <w:bookmarkEnd w:id="36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1699"/>
        <w:gridCol w:w="1840"/>
        <w:gridCol w:w="1840"/>
      </w:tblGrid>
      <w:tr w:rsidR="004F4ED0" w14:paraId="6B71FE02" w14:textId="77777777" w:rsidTr="007C6528">
        <w:tc>
          <w:tcPr>
            <w:tcW w:w="1985" w:type="dxa"/>
            <w:tcBorders>
              <w:top w:val="nil"/>
              <w:left w:val="nil"/>
            </w:tcBorders>
          </w:tcPr>
          <w:p w14:paraId="6B5135C6" w14:textId="77777777" w:rsidR="004F4ED0" w:rsidRDefault="004F4ED0" w:rsidP="004F4ED0">
            <w:pPr>
              <w:pStyle w:val="Caption"/>
              <w:ind w:firstLine="0"/>
            </w:pPr>
          </w:p>
        </w:tc>
        <w:tc>
          <w:tcPr>
            <w:tcW w:w="1699" w:type="dxa"/>
          </w:tcPr>
          <w:p w14:paraId="2588E3D8" w14:textId="411063BC" w:rsidR="004F4ED0" w:rsidRPr="004F4ED0" w:rsidRDefault="004F4ED0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Pary zbieżne</w:t>
            </w:r>
          </w:p>
        </w:tc>
        <w:tc>
          <w:tcPr>
            <w:tcW w:w="1840" w:type="dxa"/>
          </w:tcPr>
          <w:p w14:paraId="0F999323" w14:textId="03150A09" w:rsidR="004F4ED0" w:rsidRPr="004F4ED0" w:rsidRDefault="004F4ED0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Pary rozbieżne</w:t>
            </w:r>
          </w:p>
        </w:tc>
        <w:tc>
          <w:tcPr>
            <w:tcW w:w="1840" w:type="dxa"/>
          </w:tcPr>
          <w:p w14:paraId="11AE6C00" w14:textId="568DF147" w:rsidR="004F4ED0" w:rsidRPr="004F4ED0" w:rsidRDefault="004F4ED0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Wszystkie pary</w:t>
            </w:r>
          </w:p>
        </w:tc>
      </w:tr>
      <w:tr w:rsidR="004F4ED0" w14:paraId="505E5E54" w14:textId="77777777" w:rsidTr="00C66C11">
        <w:tc>
          <w:tcPr>
            <w:tcW w:w="1985" w:type="dxa"/>
          </w:tcPr>
          <w:p w14:paraId="12F494AD" w14:textId="0E815EF6" w:rsidR="00C66C11" w:rsidRPr="00C66C11" w:rsidRDefault="004F4ED0" w:rsidP="00C66C11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Liczba </w:t>
            </w:r>
            <w:r w:rsidR="00C66C11">
              <w:rPr>
                <w:sz w:val="24"/>
                <w:szCs w:val="24"/>
              </w:rPr>
              <w:t>par</w:t>
            </w:r>
          </w:p>
        </w:tc>
        <w:tc>
          <w:tcPr>
            <w:tcW w:w="1699" w:type="dxa"/>
          </w:tcPr>
          <w:p w14:paraId="4BF87209" w14:textId="6BF64D8F" w:rsidR="004F4ED0" w:rsidRDefault="004F4ED0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40" w:type="dxa"/>
          </w:tcPr>
          <w:p w14:paraId="153B9E29" w14:textId="634EA4F6" w:rsidR="004F4ED0" w:rsidRDefault="004F4ED0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840" w:type="dxa"/>
          </w:tcPr>
          <w:p w14:paraId="2B2F4B09" w14:textId="415D5F36" w:rsidR="004F4ED0" w:rsidRDefault="004F4ED0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  <w:tr w:rsidR="004F4ED0" w14:paraId="5D858E99" w14:textId="77777777" w:rsidTr="00C66C11">
        <w:tc>
          <w:tcPr>
            <w:tcW w:w="1985" w:type="dxa"/>
          </w:tcPr>
          <w:p w14:paraId="25D533AB" w14:textId="5E350AFA" w:rsidR="004F4ED0" w:rsidRDefault="00C66C11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Liczba transakcji</w:t>
            </w:r>
          </w:p>
        </w:tc>
        <w:tc>
          <w:tcPr>
            <w:tcW w:w="1699" w:type="dxa"/>
          </w:tcPr>
          <w:p w14:paraId="7F2BEE99" w14:textId="16AD6DAE" w:rsidR="004F4ED0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840" w:type="dxa"/>
          </w:tcPr>
          <w:p w14:paraId="536D6EB9" w14:textId="3E8FA0BC" w:rsidR="004F4ED0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840" w:type="dxa"/>
          </w:tcPr>
          <w:p w14:paraId="283D94E3" w14:textId="418533E2" w:rsidR="004F4ED0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</w:tr>
      <w:tr w:rsidR="00C66C11" w14:paraId="32229261" w14:textId="77777777" w:rsidTr="00C66C11">
        <w:tc>
          <w:tcPr>
            <w:tcW w:w="1985" w:type="dxa"/>
          </w:tcPr>
          <w:p w14:paraId="3BAA445C" w14:textId="19FAD5CF" w:rsidR="00C66C11" w:rsidRDefault="00C66C11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Średnia liczba transakcji na parę</w:t>
            </w:r>
          </w:p>
        </w:tc>
        <w:tc>
          <w:tcPr>
            <w:tcW w:w="1699" w:type="dxa"/>
          </w:tcPr>
          <w:p w14:paraId="0E0D437C" w14:textId="04F92639" w:rsidR="00C66C11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2.45</w:t>
            </w:r>
          </w:p>
        </w:tc>
        <w:tc>
          <w:tcPr>
            <w:tcW w:w="1840" w:type="dxa"/>
          </w:tcPr>
          <w:p w14:paraId="2DE29928" w14:textId="46E930AE" w:rsidR="00C66C11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0" w:type="dxa"/>
          </w:tcPr>
          <w:p w14:paraId="691A5458" w14:textId="4BDA7628" w:rsidR="00C66C11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</w:t>
            </w:r>
          </w:p>
        </w:tc>
      </w:tr>
      <w:tr w:rsidR="00C66C11" w14:paraId="0073EF8B" w14:textId="77777777" w:rsidTr="00C66C11">
        <w:tc>
          <w:tcPr>
            <w:tcW w:w="1985" w:type="dxa"/>
          </w:tcPr>
          <w:p w14:paraId="51406444" w14:textId="78596919" w:rsidR="00C66C11" w:rsidRDefault="00C66C11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Średnia liczba transakcji na miesiąc</w:t>
            </w:r>
          </w:p>
        </w:tc>
        <w:tc>
          <w:tcPr>
            <w:tcW w:w="1699" w:type="dxa"/>
          </w:tcPr>
          <w:p w14:paraId="2E5359D3" w14:textId="6BD3CC76" w:rsidR="00C66C11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="001F6F0C">
              <w:rPr>
                <w:sz w:val="24"/>
                <w:szCs w:val="24"/>
              </w:rPr>
              <w:t>67</w:t>
            </w:r>
          </w:p>
        </w:tc>
        <w:tc>
          <w:tcPr>
            <w:tcW w:w="1840" w:type="dxa"/>
          </w:tcPr>
          <w:p w14:paraId="4EA9B451" w14:textId="3757BFE8" w:rsidR="00C66C11" w:rsidRDefault="001F6F0C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40" w:type="dxa"/>
          </w:tcPr>
          <w:p w14:paraId="5F7757E6" w14:textId="67F09CD1" w:rsidR="00C66C11" w:rsidRDefault="001F6F0C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9.67</w:t>
            </w:r>
          </w:p>
        </w:tc>
      </w:tr>
    </w:tbl>
    <w:p w14:paraId="348C7898" w14:textId="47014409" w:rsidR="00ED39D9" w:rsidRPr="00ED39D9" w:rsidRDefault="008F364A" w:rsidP="004F4ED0">
      <w:pPr>
        <w:pStyle w:val="Caption"/>
      </w:pPr>
      <w:r>
        <w:t xml:space="preserve"> </w:t>
      </w:r>
    </w:p>
    <w:p w14:paraId="624BFEDF" w14:textId="0AB59D6B" w:rsidR="005A7D9D" w:rsidRDefault="00244FDD" w:rsidP="005A7D9D">
      <w:r>
        <w:t>Statystyki nie powinny być w żaden sposób zaskakujące. Pary zostały stworzone ze zbioru zaledwie 10 akcji i nie zostały też w żaden sposób ograniczone kryteriami zbieżności ich cen.</w:t>
      </w:r>
      <w:r w:rsidR="004E1ABE">
        <w:t xml:space="preserve"> </w:t>
      </w:r>
      <w:r w:rsidR="005C7CDD">
        <w:t>Przy</w:t>
      </w:r>
      <w:r w:rsidR="004E1ABE">
        <w:t xml:space="preserve"> znacznej przewa</w:t>
      </w:r>
      <w:r w:rsidR="005C7CDD">
        <w:t>dze</w:t>
      </w:r>
      <w:r w:rsidR="004E1ABE">
        <w:t xml:space="preserve"> liczebnej par rozbieżnych</w:t>
      </w:r>
      <w:r w:rsidR="005A7D9D">
        <w:t>, wszystkie portfele razem osiągają średni</w:t>
      </w:r>
      <w:r w:rsidR="00067558">
        <w:t>ą</w:t>
      </w:r>
      <w:r w:rsidR="005A7D9D">
        <w:t xml:space="preserve"> </w:t>
      </w:r>
      <w:r w:rsidR="00067558">
        <w:t>strat</w:t>
      </w:r>
      <w:r w:rsidR="00532DAA">
        <w:t>ę</w:t>
      </w:r>
      <w:r w:rsidR="005A7D9D">
        <w:t xml:space="preserve"> na poziomie </w:t>
      </w:r>
      <w:r w:rsidR="00686E93">
        <w:t>-</w:t>
      </w:r>
      <w:r w:rsidR="005A7D9D">
        <w:t>10</w:t>
      </w:r>
      <w:r w:rsidR="00686E93">
        <w:t>.02</w:t>
      </w:r>
      <w:r w:rsidR="005A7D9D">
        <w:t>%</w:t>
      </w:r>
      <w:r w:rsidR="004E1ABE">
        <w:t>.</w:t>
      </w:r>
    </w:p>
    <w:p w14:paraId="78F5D535" w14:textId="77777777" w:rsidR="005A7D9D" w:rsidRDefault="005A7D9D">
      <w:pPr>
        <w:spacing w:after="160" w:line="259" w:lineRule="auto"/>
        <w:ind w:firstLine="0"/>
        <w:jc w:val="left"/>
      </w:pPr>
      <w:r>
        <w:br w:type="page"/>
      </w:r>
    </w:p>
    <w:p w14:paraId="5351783C" w14:textId="7A369398" w:rsidR="004F4BFB" w:rsidRDefault="005A7D9D" w:rsidP="00985DE9">
      <w:pPr>
        <w:pStyle w:val="Caption"/>
      </w:pPr>
      <w:bookmarkStart w:id="37" w:name="_Toc204209268"/>
      <w:r w:rsidRPr="005A7D9D">
        <w:lastRenderedPageBreak/>
        <w:t xml:space="preserve">Wykres </w:t>
      </w:r>
      <w:r>
        <w:fldChar w:fldCharType="begin"/>
      </w:r>
      <w:r>
        <w:instrText xml:space="preserve"> SEQ Wykres \* ARABIC </w:instrText>
      </w:r>
      <w:r>
        <w:fldChar w:fldCharType="separate"/>
      </w:r>
      <w:r w:rsidRPr="005A7D9D">
        <w:t>8</w:t>
      </w:r>
      <w:r>
        <w:fldChar w:fldCharType="end"/>
      </w:r>
      <w:r w:rsidRPr="005A7D9D">
        <w:t>.</w:t>
      </w:r>
      <w:r>
        <w:t xml:space="preserve"> Rozkład zwrotów wszystkich portfeli.</w:t>
      </w:r>
      <w:bookmarkEnd w:id="37"/>
    </w:p>
    <w:p w14:paraId="2188E7B7" w14:textId="18D58B66" w:rsidR="004160E2" w:rsidRDefault="004F4BFB" w:rsidP="004160E2">
      <w:r>
        <w:rPr>
          <w:noProof/>
        </w:rPr>
        <w:drawing>
          <wp:inline distT="0" distB="0" distL="0" distR="0" wp14:anchorId="317546BE" wp14:editId="27CDAF94">
            <wp:extent cx="4679315" cy="4288790"/>
            <wp:effectExtent l="0" t="0" r="6985" b="0"/>
            <wp:docPr id="1406741393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41393" name="Picture 1" descr="A graph of blue bars&#10;&#10;AI-generated content may be incorrect."/>
                    <pic:cNvPicPr/>
                  </pic:nvPicPr>
                  <pic:blipFill rotWithShape="1">
                    <a:blip r:embed="rId20"/>
                    <a:srcRect t="8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428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48951" w14:textId="4FD7AAA6" w:rsidR="004160E2" w:rsidRDefault="00686E93" w:rsidP="004160E2">
      <w:r>
        <w:t>Przeważająca liczba par rozbieżnych generuje spore straty jest</w:t>
      </w:r>
      <w:r w:rsidR="004160E2">
        <w:t xml:space="preserve"> głównym czynnikiem, który przyczynił się </w:t>
      </w:r>
      <w:r w:rsidR="007C6528">
        <w:t xml:space="preserve">do </w:t>
      </w:r>
      <w:r>
        <w:t>wysokich strat ze strategii</w:t>
      </w:r>
      <w:r w:rsidR="007C6528">
        <w:t xml:space="preserve">. </w:t>
      </w:r>
    </w:p>
    <w:p w14:paraId="3DC3DF18" w14:textId="77777777" w:rsidR="007C6528" w:rsidRDefault="007C6528" w:rsidP="004160E2"/>
    <w:p w14:paraId="2C252F22" w14:textId="4E9BB488" w:rsidR="007C6528" w:rsidRDefault="007C6528" w:rsidP="007C6528">
      <w:pPr>
        <w:pStyle w:val="Caption"/>
      </w:pPr>
      <w:bookmarkStart w:id="38" w:name="_Toc20420903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Statystyki dotyczące zwrotów ze strategii</w:t>
      </w:r>
      <w:r w:rsidR="00D26D72">
        <w:t xml:space="preserve"> Pairs Trading</w:t>
      </w:r>
      <w:bookmarkEnd w:id="38"/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1699"/>
        <w:gridCol w:w="1840"/>
        <w:gridCol w:w="1840"/>
      </w:tblGrid>
      <w:tr w:rsidR="007C6528" w14:paraId="032EDCA7" w14:textId="77777777" w:rsidTr="00150B12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7B75D64F" w14:textId="77777777" w:rsidR="007C6528" w:rsidRDefault="007C6528" w:rsidP="00965F0A">
            <w:pPr>
              <w:pStyle w:val="Caption"/>
              <w:ind w:firstLine="0"/>
            </w:pPr>
          </w:p>
        </w:tc>
        <w:tc>
          <w:tcPr>
            <w:tcW w:w="1699" w:type="dxa"/>
          </w:tcPr>
          <w:p w14:paraId="72AB98B9" w14:textId="77777777" w:rsidR="007C6528" w:rsidRPr="004F4ED0" w:rsidRDefault="007C6528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Pary zbieżne</w:t>
            </w:r>
          </w:p>
        </w:tc>
        <w:tc>
          <w:tcPr>
            <w:tcW w:w="1840" w:type="dxa"/>
          </w:tcPr>
          <w:p w14:paraId="3C0EE413" w14:textId="77777777" w:rsidR="007C6528" w:rsidRPr="004F4ED0" w:rsidRDefault="007C6528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Pary rozbieżne</w:t>
            </w:r>
          </w:p>
        </w:tc>
        <w:tc>
          <w:tcPr>
            <w:tcW w:w="1840" w:type="dxa"/>
          </w:tcPr>
          <w:p w14:paraId="225071EA" w14:textId="77777777" w:rsidR="007C6528" w:rsidRPr="004F4ED0" w:rsidRDefault="007C6528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Wszystkie pary</w:t>
            </w:r>
          </w:p>
        </w:tc>
      </w:tr>
      <w:tr w:rsidR="007C6528" w14:paraId="71C8E24B" w14:textId="77777777" w:rsidTr="00150B12">
        <w:tc>
          <w:tcPr>
            <w:tcW w:w="1843" w:type="dxa"/>
          </w:tcPr>
          <w:p w14:paraId="37D3A073" w14:textId="0A8E205F" w:rsidR="007C6528" w:rsidRPr="00C66C11" w:rsidRDefault="007C6528" w:rsidP="00965F0A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Średni</w:t>
            </w:r>
            <w:r w:rsidR="00D26D72">
              <w:rPr>
                <w:sz w:val="24"/>
                <w:szCs w:val="24"/>
              </w:rPr>
              <w:t>a</w:t>
            </w:r>
          </w:p>
        </w:tc>
        <w:tc>
          <w:tcPr>
            <w:tcW w:w="1699" w:type="dxa"/>
          </w:tcPr>
          <w:p w14:paraId="4CBF34F2" w14:textId="1D0B91C2" w:rsidR="007C6528" w:rsidRDefault="00D26D7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8.37%</w:t>
            </w:r>
          </w:p>
        </w:tc>
        <w:tc>
          <w:tcPr>
            <w:tcW w:w="1840" w:type="dxa"/>
          </w:tcPr>
          <w:p w14:paraId="5E5EF83C" w14:textId="73D2DB53" w:rsidR="007C6528" w:rsidRDefault="008522F9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26D72">
              <w:rPr>
                <w:sz w:val="24"/>
                <w:szCs w:val="24"/>
              </w:rPr>
              <w:t>14.6</w:t>
            </w:r>
            <w:r>
              <w:rPr>
                <w:sz w:val="24"/>
                <w:szCs w:val="24"/>
              </w:rPr>
              <w:t>1</w:t>
            </w:r>
            <w:r w:rsidR="00D26D72">
              <w:rPr>
                <w:sz w:val="24"/>
                <w:szCs w:val="24"/>
              </w:rPr>
              <w:t>%</w:t>
            </w:r>
          </w:p>
        </w:tc>
        <w:tc>
          <w:tcPr>
            <w:tcW w:w="1840" w:type="dxa"/>
          </w:tcPr>
          <w:p w14:paraId="7C660B35" w14:textId="0E6DE35C" w:rsidR="007C6528" w:rsidRDefault="00C540BC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commentRangeStart w:id="39"/>
            <w:r>
              <w:rPr>
                <w:sz w:val="24"/>
                <w:szCs w:val="24"/>
              </w:rPr>
              <w:t>10</w:t>
            </w:r>
            <w:r w:rsidR="004F4BFB">
              <w:rPr>
                <w:sz w:val="24"/>
                <w:szCs w:val="24"/>
              </w:rPr>
              <w:t>.02</w:t>
            </w:r>
            <w:r>
              <w:rPr>
                <w:sz w:val="24"/>
                <w:szCs w:val="24"/>
              </w:rPr>
              <w:t>%</w:t>
            </w:r>
            <w:commentRangeEnd w:id="39"/>
            <w:r w:rsidR="0023570A">
              <w:rPr>
                <w:rStyle w:val="CommentReference"/>
              </w:rPr>
              <w:commentReference w:id="39"/>
            </w:r>
          </w:p>
        </w:tc>
      </w:tr>
      <w:tr w:rsidR="007C6528" w14:paraId="068D16F3" w14:textId="77777777" w:rsidTr="00150B12">
        <w:tc>
          <w:tcPr>
            <w:tcW w:w="1843" w:type="dxa"/>
          </w:tcPr>
          <w:p w14:paraId="429E42C5" w14:textId="2BD06476" w:rsidR="007C6528" w:rsidRDefault="007C6528" w:rsidP="00965F0A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Median</w:t>
            </w:r>
            <w:r w:rsidR="00D26D72">
              <w:rPr>
                <w:sz w:val="24"/>
                <w:szCs w:val="24"/>
              </w:rPr>
              <w:t>a</w:t>
            </w:r>
          </w:p>
        </w:tc>
        <w:tc>
          <w:tcPr>
            <w:tcW w:w="1699" w:type="dxa"/>
          </w:tcPr>
          <w:p w14:paraId="4C744C38" w14:textId="0AB42535" w:rsidR="007C6528" w:rsidRDefault="00D26D7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  <w:r w:rsidR="00F563A2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1840" w:type="dxa"/>
          </w:tcPr>
          <w:p w14:paraId="249CD337" w14:textId="6E7B92B1" w:rsidR="007C6528" w:rsidRDefault="008522F9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26D72">
              <w:rPr>
                <w:sz w:val="24"/>
                <w:szCs w:val="24"/>
              </w:rPr>
              <w:t>11.2</w:t>
            </w:r>
            <w:r>
              <w:rPr>
                <w:sz w:val="24"/>
                <w:szCs w:val="24"/>
              </w:rPr>
              <w:t>2</w:t>
            </w:r>
            <w:r w:rsidR="00D26D72">
              <w:rPr>
                <w:sz w:val="24"/>
                <w:szCs w:val="24"/>
              </w:rPr>
              <w:t>%</w:t>
            </w:r>
          </w:p>
        </w:tc>
        <w:tc>
          <w:tcPr>
            <w:tcW w:w="1840" w:type="dxa"/>
          </w:tcPr>
          <w:p w14:paraId="2F5FBAC6" w14:textId="32A5BEC4" w:rsidR="007C6528" w:rsidRDefault="005C7CDD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</w:t>
            </w:r>
            <w:r w:rsidR="004F4BF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%</w:t>
            </w:r>
          </w:p>
        </w:tc>
      </w:tr>
      <w:tr w:rsidR="007C6528" w14:paraId="78807610" w14:textId="77777777" w:rsidTr="00150B12">
        <w:tc>
          <w:tcPr>
            <w:tcW w:w="1843" w:type="dxa"/>
          </w:tcPr>
          <w:p w14:paraId="6DB613A9" w14:textId="2C790206" w:rsidR="007C6528" w:rsidRDefault="007C6528" w:rsidP="00965F0A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Kurtoza</w:t>
            </w:r>
            <w:r w:rsidR="00D26D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99" w:type="dxa"/>
          </w:tcPr>
          <w:p w14:paraId="7D1D1AC0" w14:textId="60AF658C" w:rsidR="007C6528" w:rsidRDefault="00D26D7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2.50</w:t>
            </w:r>
          </w:p>
        </w:tc>
        <w:tc>
          <w:tcPr>
            <w:tcW w:w="1840" w:type="dxa"/>
          </w:tcPr>
          <w:p w14:paraId="6098285E" w14:textId="7DF5CAA1" w:rsidR="007C6528" w:rsidRDefault="00D26D7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2.18</w:t>
            </w:r>
          </w:p>
        </w:tc>
        <w:tc>
          <w:tcPr>
            <w:tcW w:w="1840" w:type="dxa"/>
          </w:tcPr>
          <w:p w14:paraId="48517849" w14:textId="773CEA0C" w:rsidR="007C6528" w:rsidRDefault="005C7CDD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0.37</w:t>
            </w:r>
          </w:p>
        </w:tc>
      </w:tr>
      <w:tr w:rsidR="007C6528" w14:paraId="3D9C0AAA" w14:textId="77777777" w:rsidTr="00150B12">
        <w:tc>
          <w:tcPr>
            <w:tcW w:w="1843" w:type="dxa"/>
          </w:tcPr>
          <w:p w14:paraId="733E3314" w14:textId="08B1EA5F" w:rsidR="007C6528" w:rsidRDefault="00D26D72" w:rsidP="00965F0A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Skośność</w:t>
            </w:r>
          </w:p>
        </w:tc>
        <w:tc>
          <w:tcPr>
            <w:tcW w:w="1699" w:type="dxa"/>
          </w:tcPr>
          <w:p w14:paraId="343A7C6E" w14:textId="3095FE0D" w:rsidR="007C6528" w:rsidRDefault="00F563A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26D72">
              <w:rPr>
                <w:sz w:val="24"/>
                <w:szCs w:val="24"/>
              </w:rPr>
              <w:t>0.5</w:t>
            </w:r>
          </w:p>
        </w:tc>
        <w:tc>
          <w:tcPr>
            <w:tcW w:w="1840" w:type="dxa"/>
          </w:tcPr>
          <w:p w14:paraId="42C44CAC" w14:textId="356CF8EA" w:rsidR="007C6528" w:rsidRDefault="00F563A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150B12">
              <w:rPr>
                <w:sz w:val="24"/>
                <w:szCs w:val="24"/>
              </w:rPr>
              <w:t>0.24</w:t>
            </w:r>
          </w:p>
        </w:tc>
        <w:tc>
          <w:tcPr>
            <w:tcW w:w="1840" w:type="dxa"/>
          </w:tcPr>
          <w:p w14:paraId="7FBE2B9C" w14:textId="4C3D15F7" w:rsidR="007C6528" w:rsidRDefault="005C7CDD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2.16</w:t>
            </w:r>
          </w:p>
        </w:tc>
      </w:tr>
      <w:tr w:rsidR="006F6C8C" w14:paraId="43E41752" w14:textId="77777777" w:rsidTr="00150B12">
        <w:tc>
          <w:tcPr>
            <w:tcW w:w="1843" w:type="dxa"/>
          </w:tcPr>
          <w:p w14:paraId="0009A296" w14:textId="216AD773" w:rsidR="006F6C8C" w:rsidRDefault="006F6C8C" w:rsidP="00965F0A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Sharpe</w:t>
            </w:r>
            <w:r w:rsidR="008522F9">
              <w:rPr>
                <w:sz w:val="24"/>
                <w:szCs w:val="24"/>
              </w:rPr>
              <w:t xml:space="preserve"> zannualizowany</w:t>
            </w:r>
          </w:p>
        </w:tc>
        <w:tc>
          <w:tcPr>
            <w:tcW w:w="1699" w:type="dxa"/>
          </w:tcPr>
          <w:p w14:paraId="0CAF0F2A" w14:textId="36096766" w:rsidR="006F6C8C" w:rsidRDefault="008522F9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3.16</w:t>
            </w:r>
          </w:p>
        </w:tc>
        <w:tc>
          <w:tcPr>
            <w:tcW w:w="1840" w:type="dxa"/>
          </w:tcPr>
          <w:p w14:paraId="32E57A5A" w14:textId="01F23A74" w:rsidR="006F6C8C" w:rsidRDefault="004C5DC0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40" w:type="dxa"/>
          </w:tcPr>
          <w:p w14:paraId="2893A9C1" w14:textId="4F56090B" w:rsidR="006F6C8C" w:rsidRDefault="004F4BFB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-2.84</w:t>
            </w:r>
          </w:p>
        </w:tc>
      </w:tr>
    </w:tbl>
    <w:p w14:paraId="62B5C4A2" w14:textId="70874CB0" w:rsidR="00150B12" w:rsidRDefault="00150B12" w:rsidP="007C6528">
      <w:pPr>
        <w:ind w:firstLine="0"/>
      </w:pPr>
    </w:p>
    <w:p w14:paraId="1195E67D" w14:textId="77777777" w:rsidR="00150B12" w:rsidRDefault="00150B12">
      <w:pPr>
        <w:spacing w:after="160" w:line="259" w:lineRule="auto"/>
        <w:ind w:firstLine="0"/>
        <w:jc w:val="left"/>
      </w:pPr>
      <w:r>
        <w:br w:type="page"/>
      </w:r>
    </w:p>
    <w:p w14:paraId="7CA524A0" w14:textId="6665000E" w:rsidR="00F93B9A" w:rsidRDefault="00F93B9A" w:rsidP="00F93B9A">
      <w:r w:rsidRPr="00F93B9A">
        <w:lastRenderedPageBreak/>
        <w:t>Pary zbieżne osiągnęły średni zwrot 8.37% </w:t>
      </w:r>
      <w:r>
        <w:t xml:space="preserve"> </w:t>
      </w:r>
      <w:r w:rsidRPr="00F93B9A">
        <w:t>podczas gdy pary rozbieżne przyniosły średnią stratę -14.61%</w:t>
      </w:r>
      <w:r>
        <w:t xml:space="preserve">. </w:t>
      </w:r>
      <w:commentRangeStart w:id="40"/>
      <w:r w:rsidRPr="00F93B9A">
        <w:t xml:space="preserve">Wynik ten wskazuje, że mechanizm </w:t>
      </w:r>
      <w:r>
        <w:t xml:space="preserve">powrotu do średniej </w:t>
      </w:r>
      <w:r w:rsidRPr="00F93B9A">
        <w:t>działał efektywnie w przypadku par zbieżnych, podczas gdy pary rozbieżne generowały znaczące straty.</w:t>
      </w:r>
      <w:commentRangeEnd w:id="40"/>
      <w:r w:rsidR="009263F0">
        <w:rPr>
          <w:rStyle w:val="CommentReference"/>
        </w:rPr>
        <w:commentReference w:id="40"/>
      </w:r>
    </w:p>
    <w:p w14:paraId="1E053DB4" w14:textId="77777777" w:rsidR="00F93B9A" w:rsidRDefault="00F93B9A" w:rsidP="00F93B9A"/>
    <w:p w14:paraId="50D22579" w14:textId="450EC338" w:rsidR="00F93B9A" w:rsidRDefault="00F93B9A" w:rsidP="00F93B9A">
      <w:r w:rsidRPr="00F93B9A">
        <w:t>Wysoki Sharpe 3.16 dla par zbieżnych potwierdza, że</w:t>
      </w:r>
      <w:r w:rsidR="001B5DD8">
        <w:t xml:space="preserve"> w tym przypadku</w:t>
      </w:r>
      <w:r w:rsidRPr="00F93B9A">
        <w:t xml:space="preserve"> mechanizm mean-reversion działał efektywnie pomimo silnego trendu wzrostowego. Sugeruje to, że nawet w warunkach hossy, krótkoterminowe odchylenia cenowe ulegały korekcie, generując stabilne zyski przy stosunkowo niskiej zmienności.</w:t>
      </w:r>
    </w:p>
    <w:p w14:paraId="57520C3C" w14:textId="77777777" w:rsidR="00F93B9A" w:rsidRDefault="00F93B9A" w:rsidP="00F93B9A"/>
    <w:p w14:paraId="45B60C5A" w14:textId="4234BF7D" w:rsidR="00F93B9A" w:rsidRDefault="00F93B9A" w:rsidP="00F93B9A">
      <w:r>
        <w:t>Ostateczni</w:t>
      </w:r>
      <w:r w:rsidR="00AF1373">
        <w:t>e</w:t>
      </w:r>
      <w:r>
        <w:t xml:space="preserve"> przewaga licze</w:t>
      </w:r>
      <w:r w:rsidR="00AF1373">
        <w:t>bna wysoce stratnych par rozbieżnych,</w:t>
      </w:r>
      <w:r>
        <w:t xml:space="preserve"> wpłynęł</w:t>
      </w:r>
      <w:r w:rsidR="00AF1373">
        <w:t>a</w:t>
      </w:r>
      <w:r>
        <w:t xml:space="preserve"> na bardzo niską, ujemną wartość </w:t>
      </w:r>
      <w:commentRangeStart w:id="41"/>
      <w:r>
        <w:t>Sharpa</w:t>
      </w:r>
      <w:r w:rsidR="00AF1373">
        <w:t xml:space="preserve"> -2.84</w:t>
      </w:r>
      <w:commentRangeEnd w:id="41"/>
      <w:r w:rsidR="00AE3BFA">
        <w:rPr>
          <w:rStyle w:val="CommentReference"/>
        </w:rPr>
        <w:commentReference w:id="41"/>
      </w:r>
      <w:r w:rsidR="00AF1373">
        <w:t>. Świadczy to nie tylko o wysokich stratach, ale też wysoce zmiennych. Zyski z 9 zbieżnych par nie miały możliwości zniwelować tego efektu.</w:t>
      </w:r>
    </w:p>
    <w:p w14:paraId="10AABCFD" w14:textId="77777777" w:rsidR="00AF1373" w:rsidRDefault="00AF1373" w:rsidP="00F93B9A"/>
    <w:p w14:paraId="6860F8B8" w14:textId="56A1D380" w:rsidR="00AF1373" w:rsidRDefault="00AF1373" w:rsidP="00F93B9A">
      <w:commentRangeStart w:id="42"/>
      <w:r w:rsidRPr="00AF1373">
        <w:t>Badanie wyraźnie potwierdza, że pominięcie kluczowych metod selekcji pa</w:t>
      </w:r>
      <w:r>
        <w:t xml:space="preserve">r </w:t>
      </w:r>
      <w:r w:rsidRPr="00AF1373">
        <w:t>takich jak metryki dystansowe i testy kointegracji znacząco obniża skuteczność strategii Pairs Trading</w:t>
      </w:r>
      <w:commentRangeEnd w:id="42"/>
      <w:r w:rsidR="002353FA">
        <w:rPr>
          <w:rStyle w:val="CommentReference"/>
        </w:rPr>
        <w:commentReference w:id="42"/>
      </w:r>
      <w:r w:rsidRPr="00AF1373">
        <w:t>. W warunkach silnego trendu wzrostowego w sektorze technologicznym, brak wstępnej weryfikacji statystycznych zależności między parami aktywów doprowadził do dominacji par rozbieżnych, które generowały średnią stratę na poziomie</w:t>
      </w:r>
      <w:r>
        <w:t xml:space="preserve"> -</w:t>
      </w:r>
      <w:r w:rsidRPr="00AF1373">
        <w:t>14,61%</w:t>
      </w:r>
      <w:r>
        <w:t>.</w:t>
      </w:r>
    </w:p>
    <w:p w14:paraId="2577039A" w14:textId="77777777" w:rsidR="00AF1373" w:rsidRDefault="00AF1373" w:rsidP="00F93B9A"/>
    <w:p w14:paraId="4E680336" w14:textId="504009B7" w:rsidR="00AF1373" w:rsidRDefault="00AF1373" w:rsidP="00F93B9A">
      <w:r w:rsidRPr="00AF1373">
        <w:t> </w:t>
      </w:r>
      <w:r>
        <w:t>B</w:t>
      </w:r>
      <w:r w:rsidRPr="00AF1373">
        <w:t xml:space="preserve">adanie pokazuje, że skuteczność Pairs Trading nie wynika wyłącznie z </w:t>
      </w:r>
      <w:r>
        <w:t xml:space="preserve">odgórnego założenia </w:t>
      </w:r>
      <w:r w:rsidRPr="00AF1373">
        <w:t>logiki mean-reversion, lecz przede wszystkim z właściwego doboru aktywów. Wykorzystanie metod dystansowych i kointegracji mogłoby znacząco ograniczyć udział par rozbieżnych w portfelu, zmniejszając ryzyko strat w okresach silnych trendów. Bez tych narzędzi strategia traci swoją przewagę statystyczną i staje się podatna na czynniki makro, takie jak sektorowe hossy lub bessy.</w:t>
      </w:r>
    </w:p>
    <w:p w14:paraId="43C19942" w14:textId="77777777" w:rsidR="00AF1373" w:rsidRDefault="00AF1373">
      <w:pPr>
        <w:spacing w:after="160" w:line="259" w:lineRule="auto"/>
        <w:ind w:firstLine="0"/>
        <w:jc w:val="left"/>
      </w:pPr>
      <w:r>
        <w:br w:type="page"/>
      </w:r>
    </w:p>
    <w:p w14:paraId="5385D4C2" w14:textId="3FA8CC2E" w:rsidR="00AF1373" w:rsidRDefault="00640F8D" w:rsidP="00030CAD">
      <w:pPr>
        <w:pStyle w:val="Heading2"/>
      </w:pPr>
      <w:r>
        <w:lastRenderedPageBreak/>
        <w:t>Zakończenie</w:t>
      </w:r>
    </w:p>
    <w:p w14:paraId="097586BE" w14:textId="25D6837B" w:rsidR="00EC3F6C" w:rsidRDefault="00EC3F6C" w:rsidP="00EC3F6C">
      <w:pPr>
        <w:pStyle w:val="Pierwszyakapit"/>
      </w:pPr>
      <w:r>
        <w:t>Praca magisterska</w:t>
      </w:r>
      <w:r w:rsidR="007212FA">
        <w:t xml:space="preserve"> </w:t>
      </w:r>
      <w:r>
        <w:t xml:space="preserve">miała na celu zbadanie efektywności strategii Pairs Trading w kontekście rynku technologicznego, ze szczególnym uwzględnieniem wyzwań i metod jej implementacji. W trzech rozdziałach przedstawiono teoretyczne podstawy strategii tradingowych, specyfikę Pairs </w:t>
      </w:r>
      <w:commentRangeStart w:id="43"/>
      <w:r>
        <w:t>Trading oraz wyniki empiryczne jej zastosowania na danych z lat 2022-2023.</w:t>
      </w:r>
      <w:commentRangeEnd w:id="43"/>
      <w:r w:rsidR="00C23A87">
        <w:rPr>
          <w:rStyle w:val="CommentReference"/>
        </w:rPr>
        <w:commentReference w:id="43"/>
      </w:r>
    </w:p>
    <w:p w14:paraId="7CBEE416" w14:textId="77777777" w:rsidR="00EC3F6C" w:rsidRDefault="00EC3F6C" w:rsidP="00EC3F6C">
      <w:pPr>
        <w:pStyle w:val="Pierwszyakapit"/>
      </w:pPr>
    </w:p>
    <w:p w14:paraId="4241219E" w14:textId="43520778" w:rsidR="00EC3F6C" w:rsidRDefault="00067558" w:rsidP="00EC3F6C">
      <w:r>
        <w:t>S</w:t>
      </w:r>
      <w:r w:rsidR="00EC3F6C">
        <w:t>charakteryzowano różne podejścia inwestycyjne, takie jak</w:t>
      </w:r>
      <w:r>
        <w:t xml:space="preserve"> momentum lub</w:t>
      </w:r>
      <w:r w:rsidR="00EC3F6C">
        <w:t xml:space="preserve"> mean reversion</w:t>
      </w:r>
      <w:r>
        <w:t>,</w:t>
      </w:r>
      <w:r w:rsidR="00EC3F6C">
        <w:t xml:space="preserve"> któr</w:t>
      </w:r>
      <w:r>
        <w:t>a</w:t>
      </w:r>
      <w:r w:rsidR="00EC3F6C">
        <w:t xml:space="preserve"> stanowi fundament strategii Pairs Trading. Omówiono również kluczowe wskaźniki techniczne </w:t>
      </w:r>
      <w:r w:rsidR="00B83984">
        <w:t>takie jak RSI lub MACD</w:t>
      </w:r>
      <w:r w:rsidR="00EC3F6C">
        <w:t xml:space="preserve"> oraz ich rolę w identyfikacji sygnałów transakcyjnych. Wykazano, że Pairs Trading, jako strategia neutralna rynkowo, opiera się na założeniu powrotu do średniej, co odróżnia ją od innych metod </w:t>
      </w:r>
      <w:r>
        <w:t>opartych o momentum oraz ukazuje ją jako jedną z fundamentalnych strategii arbitrażu statystycznego.</w:t>
      </w:r>
    </w:p>
    <w:p w14:paraId="57B38D87" w14:textId="77777777" w:rsidR="00EC3F6C" w:rsidRDefault="00EC3F6C" w:rsidP="00EC3F6C"/>
    <w:p w14:paraId="1E4959CC" w14:textId="6050D1E5" w:rsidR="00EC3F6C" w:rsidRDefault="00067558" w:rsidP="00EC3F6C">
      <w:r>
        <w:t>Następnie strategia Pairs Trading została poddana</w:t>
      </w:r>
      <w:r w:rsidR="00EC3F6C">
        <w:t xml:space="preserve"> szczegółowej analizie, począwszy od jej historycznych korzeni, poprzez różne metody doboru par aż po współczesne wyzwania, takie jak problem rozbieżności cen w długim okresie</w:t>
      </w:r>
      <w:r w:rsidR="00B83984">
        <w:t xml:space="preserve"> lub spadek jej efektywności po 2009 roku</w:t>
      </w:r>
      <w:r w:rsidR="00EC3F6C">
        <w:t xml:space="preserve">. Wskazano, że skuteczność strategii zależy od właściwego doboru par, a pominięcie etapu selekcji </w:t>
      </w:r>
      <w:r w:rsidR="00B83984">
        <w:t xml:space="preserve">opartej o metody statystyczne </w:t>
      </w:r>
      <w:r w:rsidR="00EC3F6C">
        <w:t>prowadzić do znaczących strat.</w:t>
      </w:r>
    </w:p>
    <w:p w14:paraId="7F06B435" w14:textId="77777777" w:rsidR="00EC3F6C" w:rsidRDefault="00EC3F6C" w:rsidP="00EC3F6C"/>
    <w:p w14:paraId="3F3C51EF" w14:textId="67B5D512" w:rsidR="00EC3F6C" w:rsidRDefault="00067558" w:rsidP="00EC3F6C">
      <w:r>
        <w:t>Ostatecznie</w:t>
      </w:r>
      <w:r w:rsidR="00EC3F6C">
        <w:t xml:space="preserve"> zaprezentowano wyniki empiryczne, które potwierdziły tezę o kluczowej roli selekcji par. Badanie wykazało, że w okresie silnego trendu wzrostowego w sektorze technologicznym, pary wybrane bez wstępnej weryfikacji statystycznej generowały średnią stratę na poziomie -10,02%. Jedynie pary, które wykazywały zbieżność, przyniosły zyski (średnio 8,37%)</w:t>
      </w:r>
      <w:r>
        <w:t xml:space="preserve">. Oznacza to że znalezienie par, które mogłyby z większą szansą opierać się </w:t>
      </w:r>
    </w:p>
    <w:p w14:paraId="08202142" w14:textId="77777777" w:rsidR="00EC3F6C" w:rsidRDefault="00EC3F6C" w:rsidP="00EC3F6C"/>
    <w:p w14:paraId="57CB6F97" w14:textId="77777777" w:rsidR="001E590D" w:rsidRDefault="001E590D" w:rsidP="001E590D">
      <w:r w:rsidRPr="001E590D">
        <w:t xml:space="preserve">Podsumowując, praca wykazała, że skuteczność strategii Pairs Trading jest silnie uzależniona od odpowiedniego doboru par aktywów. W przypadku pominięcia statystycznych metod selekcji, takich jak metryka euklidesowa czy testy kointegracji, strategia wykazuje tendencję do generowania strat. </w:t>
      </w:r>
      <w:r w:rsidRPr="001E590D">
        <w:lastRenderedPageBreak/>
        <w:t>Wynika to z faktu, że bez rygorystycznych kryteriów wyboru, większość par może okazać się rozbieżna, szczególnie w warunkach silnych trendów rynkowych.</w:t>
      </w:r>
    </w:p>
    <w:p w14:paraId="13D4B00F" w14:textId="77777777" w:rsidR="001E590D" w:rsidRPr="001E590D" w:rsidRDefault="001E590D" w:rsidP="001E590D"/>
    <w:p w14:paraId="535CADF9" w14:textId="0336F229" w:rsidR="00B83984" w:rsidRDefault="001E590D" w:rsidP="001E590D">
      <w:r w:rsidRPr="001E590D">
        <w:t xml:space="preserve">Badanie potwierdziło, że kluczowym czynnikiem decydującym o rentowności Pairs Trading nie jest sama logika mean-reversion, lecz precyzyjna identyfikacja aktywów o rzeczywistej tendencji do wzajemnej korekty cen. W związku z tym dalsze badania powinny koncentrować się na </w:t>
      </w:r>
      <w:r w:rsidR="00B83984">
        <w:t xml:space="preserve">stosowaniu i stałym </w:t>
      </w:r>
      <w:r w:rsidRPr="001E590D">
        <w:t>doskonaleniu metod selekcji pa</w:t>
      </w:r>
      <w:r>
        <w:t>r.</w:t>
      </w:r>
      <w:r w:rsidRPr="001E590D">
        <w:t xml:space="preserve"> </w:t>
      </w:r>
      <w:r>
        <w:t>W</w:t>
      </w:r>
      <w:r w:rsidRPr="001E590D">
        <w:t xml:space="preserve"> ten sposób możliwe będzie zwiększenie efektywności strategii w zmieniających się warunkach rynkowych.</w:t>
      </w:r>
      <w:r>
        <w:t xml:space="preserve"> </w:t>
      </w:r>
    </w:p>
    <w:p w14:paraId="618026FA" w14:textId="77777777" w:rsidR="00B83984" w:rsidRDefault="00B83984" w:rsidP="001E590D"/>
    <w:p w14:paraId="3284D4F7" w14:textId="483F90B8" w:rsidR="00030CAD" w:rsidRDefault="001E590D" w:rsidP="001E590D">
      <w:r>
        <w:t xml:space="preserve">Potencjalnym kierunkiem może okazać się również utworzenie reguł stop-loss w przypadku gdy skumulowane zwroty pary aktywów </w:t>
      </w:r>
      <w:r w:rsidR="00B83984">
        <w:t>zbyt daleko od siebie odchodzą. Warto też rozważyć swego rodzaju uzupełnienie strategii za pomocą wskaźników momentum, które mogłyby wyłapywać silne trendy wzrostowe niektórych aktywów i generować na nich zyski.</w:t>
      </w:r>
    </w:p>
    <w:p w14:paraId="499FAF1F" w14:textId="77777777" w:rsidR="00030CAD" w:rsidRDefault="00030CAD">
      <w:pPr>
        <w:spacing w:after="160" w:line="259" w:lineRule="auto"/>
        <w:ind w:firstLine="0"/>
        <w:jc w:val="left"/>
      </w:pPr>
      <w:r>
        <w:br w:type="page"/>
      </w:r>
    </w:p>
    <w:p w14:paraId="598480BB" w14:textId="328BC46A" w:rsidR="00030CAD" w:rsidRPr="00030CAD" w:rsidRDefault="00030CAD" w:rsidP="00030CAD">
      <w:pPr>
        <w:pStyle w:val="Heading2"/>
      </w:pPr>
      <w:r w:rsidRPr="00030CAD">
        <w:lastRenderedPageBreak/>
        <w:t>Wykaz tabel</w:t>
      </w:r>
    </w:p>
    <w:p w14:paraId="79084FDD" w14:textId="61F39ABF" w:rsidR="00030CAD" w:rsidRPr="00030CAD" w:rsidRDefault="00030CAD">
      <w:pPr>
        <w:pStyle w:val="TableofFigures"/>
        <w:tabs>
          <w:tab w:val="right" w:leader="dot" w:pos="7359"/>
        </w:tabs>
        <w:rPr>
          <w:noProof/>
        </w:rPr>
      </w:pPr>
      <w:r w:rsidRPr="00030CAD">
        <w:fldChar w:fldCharType="begin"/>
      </w:r>
      <w:r w:rsidRPr="00030CAD">
        <w:instrText xml:space="preserve"> TOC \h \z \c "Tabela" </w:instrText>
      </w:r>
      <w:r w:rsidRPr="00030CAD">
        <w:fldChar w:fldCharType="separate"/>
      </w:r>
      <w:hyperlink w:anchor="_Toc204209030" w:history="1">
        <w:r w:rsidRPr="00030CAD">
          <w:rPr>
            <w:rStyle w:val="Hyperlink"/>
            <w:noProof/>
          </w:rPr>
          <w:t>Tabela 1. Statystyki dotyczące liczby wykonanych transakcji.</w:t>
        </w:r>
        <w:r w:rsidRPr="00030CAD">
          <w:rPr>
            <w:noProof/>
            <w:webHidden/>
          </w:rPr>
          <w:tab/>
        </w:r>
        <w:r w:rsidRPr="00030CAD">
          <w:rPr>
            <w:noProof/>
            <w:webHidden/>
          </w:rPr>
          <w:fldChar w:fldCharType="begin"/>
        </w:r>
        <w:r w:rsidRPr="00030CAD">
          <w:rPr>
            <w:noProof/>
            <w:webHidden/>
          </w:rPr>
          <w:instrText xml:space="preserve"> PAGEREF _Toc204209030 \h </w:instrText>
        </w:r>
        <w:r w:rsidRPr="00030CAD">
          <w:rPr>
            <w:noProof/>
            <w:webHidden/>
          </w:rPr>
        </w:r>
        <w:r w:rsidRPr="00030CAD">
          <w:rPr>
            <w:noProof/>
            <w:webHidden/>
          </w:rPr>
          <w:fldChar w:fldCharType="separate"/>
        </w:r>
        <w:r w:rsidRPr="00030CAD">
          <w:rPr>
            <w:noProof/>
            <w:webHidden/>
          </w:rPr>
          <w:t>31</w:t>
        </w:r>
        <w:r w:rsidRPr="00030CAD">
          <w:rPr>
            <w:noProof/>
            <w:webHidden/>
          </w:rPr>
          <w:fldChar w:fldCharType="end"/>
        </w:r>
      </w:hyperlink>
    </w:p>
    <w:p w14:paraId="2AF75424" w14:textId="01A9F406" w:rsidR="00030CAD" w:rsidRPr="00030CAD" w:rsidRDefault="00030CAD" w:rsidP="00030CAD">
      <w:pPr>
        <w:pStyle w:val="TableofFigures"/>
        <w:tabs>
          <w:tab w:val="right" w:leader="dot" w:pos="7359"/>
        </w:tabs>
        <w:rPr>
          <w:rStyle w:val="Hyperlink"/>
          <w:noProof/>
        </w:rPr>
      </w:pPr>
      <w:hyperlink w:anchor="_Toc204209031" w:history="1">
        <w:r w:rsidRPr="00030CAD">
          <w:rPr>
            <w:rStyle w:val="Hyperlink"/>
            <w:noProof/>
          </w:rPr>
          <w:t xml:space="preserve">Tabela 2. Statystyki dotyczące zwrotów ze strategii </w:t>
        </w:r>
        <w:r w:rsidRPr="00030CAD">
          <w:rPr>
            <w:rStyle w:val="Hyperlink"/>
            <w:noProof/>
            <w:u w:val="none"/>
          </w:rPr>
          <w:t>Pairs</w:t>
        </w:r>
        <w:r w:rsidRPr="00030CAD">
          <w:rPr>
            <w:rStyle w:val="Hyperlink"/>
            <w:noProof/>
          </w:rPr>
          <w:t xml:space="preserve"> Trading</w:t>
        </w:r>
        <w:r w:rsidRPr="00030CAD">
          <w:rPr>
            <w:noProof/>
            <w:webHidden/>
          </w:rPr>
          <w:tab/>
        </w:r>
        <w:r w:rsidRPr="00030CAD">
          <w:rPr>
            <w:noProof/>
            <w:webHidden/>
          </w:rPr>
          <w:fldChar w:fldCharType="begin"/>
        </w:r>
        <w:r w:rsidRPr="00030CAD">
          <w:rPr>
            <w:noProof/>
            <w:webHidden/>
          </w:rPr>
          <w:instrText xml:space="preserve"> PAGEREF _Toc204209031 \h </w:instrText>
        </w:r>
        <w:r w:rsidRPr="00030CAD">
          <w:rPr>
            <w:noProof/>
            <w:webHidden/>
          </w:rPr>
        </w:r>
        <w:r w:rsidRPr="00030CAD">
          <w:rPr>
            <w:noProof/>
            <w:webHidden/>
          </w:rPr>
          <w:fldChar w:fldCharType="separate"/>
        </w:r>
        <w:r w:rsidRPr="00030CAD">
          <w:rPr>
            <w:noProof/>
            <w:webHidden/>
          </w:rPr>
          <w:t>32</w:t>
        </w:r>
        <w:r w:rsidRPr="00030CAD">
          <w:rPr>
            <w:noProof/>
            <w:webHidden/>
          </w:rPr>
          <w:fldChar w:fldCharType="end"/>
        </w:r>
      </w:hyperlink>
    </w:p>
    <w:p w14:paraId="0BC5B2C3" w14:textId="77777777" w:rsidR="00030CAD" w:rsidRPr="00030CAD" w:rsidRDefault="00030CAD">
      <w:pPr>
        <w:spacing w:after="160" w:line="259" w:lineRule="auto"/>
        <w:ind w:firstLine="0"/>
        <w:jc w:val="left"/>
        <w:rPr>
          <w:rStyle w:val="Hyperlink"/>
          <w:noProof/>
        </w:rPr>
      </w:pPr>
    </w:p>
    <w:p w14:paraId="54B52E90" w14:textId="6E87BDAD" w:rsidR="00030CAD" w:rsidRPr="00030CAD" w:rsidRDefault="00030CAD" w:rsidP="00030CAD">
      <w:pPr>
        <w:pStyle w:val="Heading2"/>
        <w:rPr>
          <w:noProof/>
        </w:rPr>
      </w:pPr>
    </w:p>
    <w:p w14:paraId="545E7F1E" w14:textId="6A36C7E2" w:rsidR="001E590D" w:rsidRPr="001E590D" w:rsidRDefault="00030CAD" w:rsidP="001E590D">
      <w:r w:rsidRPr="00030CAD">
        <w:fldChar w:fldCharType="end"/>
      </w:r>
    </w:p>
    <w:p w14:paraId="37A83E40" w14:textId="575CA2B7" w:rsidR="00030CAD" w:rsidRDefault="00030CAD">
      <w:pPr>
        <w:spacing w:after="160" w:line="259" w:lineRule="auto"/>
        <w:ind w:firstLine="0"/>
        <w:jc w:val="left"/>
      </w:pPr>
      <w:r>
        <w:br w:type="page"/>
      </w:r>
    </w:p>
    <w:p w14:paraId="17DB3C1F" w14:textId="17284730" w:rsidR="000308D4" w:rsidRDefault="00030CAD" w:rsidP="00030CAD">
      <w:pPr>
        <w:pStyle w:val="Heading2"/>
      </w:pPr>
      <w:r>
        <w:lastRenderedPageBreak/>
        <w:t>Wykaz wykresów</w:t>
      </w:r>
    </w:p>
    <w:p w14:paraId="026DE420" w14:textId="143D2ED9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r>
        <w:fldChar w:fldCharType="begin"/>
      </w:r>
      <w:r>
        <w:instrText xml:space="preserve"> TOC \h \z \c "Wykres" </w:instrText>
      </w:r>
      <w:r>
        <w:fldChar w:fldCharType="separate"/>
      </w:r>
      <w:hyperlink w:anchor="_Toc204209261" w:history="1">
        <w:r w:rsidRPr="00B41CD1">
          <w:rPr>
            <w:rStyle w:val="Hyperlink"/>
            <w:noProof/>
          </w:rPr>
          <w:t>Wykres 1. Skumulowane zwroty z akcji Coca Cola i Pepsico w latach 1970 -1990.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D54769" w14:textId="12C3B3A4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2" w:history="1">
        <w:r w:rsidRPr="00B41CD1">
          <w:rPr>
            <w:rStyle w:val="Hyperlink"/>
            <w:noProof/>
          </w:rPr>
          <w:t>Wykres 2. Skumulowane zwroty z akcji Coca Cola i Pepsico w latach 1990 – 2024.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21724C" w14:textId="445C9BF9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3" w:history="1">
        <w:r w:rsidRPr="00B41CD1">
          <w:rPr>
            <w:rStyle w:val="Hyperlink"/>
            <w:noProof/>
          </w:rPr>
          <w:t>Wykres 3. Skumulowane zwroty spółek w okresie formacyjnym.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2A8E58" w14:textId="1EC92940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4" w:history="1">
        <w:r w:rsidRPr="00B41CD1">
          <w:rPr>
            <w:rStyle w:val="Hyperlink"/>
            <w:noProof/>
          </w:rPr>
          <w:t>Wykres 4. Skumulowane zwroty spółek w okresie handlowym.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6A3C3C6" w14:textId="08317BB6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5" w:history="1">
        <w:r w:rsidRPr="00B41CD1">
          <w:rPr>
            <w:rStyle w:val="Hyperlink"/>
            <w:noProof/>
          </w:rPr>
          <w:t>Wykres 5. Wykres spreadu Apple i Mety w okresie handlowym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9A5BDF" w14:textId="22B2279E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6" w:history="1">
        <w:r w:rsidRPr="00B41CD1">
          <w:rPr>
            <w:rStyle w:val="Hyperlink"/>
            <w:noProof/>
          </w:rPr>
          <w:t>Wykres 6. Wykres spreadu Apple i Google w okresie handlowym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3C344CB" w14:textId="3EA3BBC4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7" w:history="1">
        <w:r w:rsidRPr="00B41CD1">
          <w:rPr>
            <w:rStyle w:val="Hyperlink"/>
            <w:noProof/>
          </w:rPr>
          <w:t>Wykres 7. Wykres spreadu Nvidii i Adobe w okresie handlowym.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532DDDD" w14:textId="5391B2FE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8" w:history="1">
        <w:r w:rsidRPr="00B41CD1">
          <w:rPr>
            <w:rStyle w:val="Hyperlink"/>
            <w:noProof/>
          </w:rPr>
          <w:t>Wykres 8. Rozkład zwrotów wszystkich portfeli.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1E4C3D" w14:textId="4B763104" w:rsidR="00030CAD" w:rsidRDefault="00030CAD" w:rsidP="00030CAD">
      <w:pPr>
        <w:pStyle w:val="Heading3"/>
        <w:numPr>
          <w:ilvl w:val="0"/>
          <w:numId w:val="0"/>
        </w:numPr>
        <w:ind w:left="567"/>
      </w:pPr>
      <w:r>
        <w:fldChar w:fldCharType="end"/>
      </w:r>
    </w:p>
    <w:p w14:paraId="09C14FB1" w14:textId="41D039BE" w:rsidR="00030CAD" w:rsidRDefault="00030CAD" w:rsidP="00030CAD">
      <w:pPr>
        <w:pStyle w:val="Pierwszyakapit"/>
      </w:pPr>
    </w:p>
    <w:p w14:paraId="6C440D7B" w14:textId="77777777" w:rsidR="00030CAD" w:rsidRDefault="00030CAD">
      <w:pPr>
        <w:spacing w:after="160" w:line="259" w:lineRule="auto"/>
        <w:ind w:firstLine="0"/>
        <w:jc w:val="left"/>
      </w:pPr>
      <w:r>
        <w:br w:type="page"/>
      </w:r>
    </w:p>
    <w:p w14:paraId="37F15ED7" w14:textId="1AFFDFC9" w:rsidR="00030CAD" w:rsidRDefault="00030CAD" w:rsidP="00030CAD">
      <w:pPr>
        <w:pStyle w:val="Heading2"/>
      </w:pPr>
      <w:r>
        <w:lastRenderedPageBreak/>
        <w:t>Bib</w:t>
      </w:r>
      <w:r w:rsidR="00C671E3">
        <w:t>l</w:t>
      </w:r>
      <w:r>
        <w:t>iografia</w:t>
      </w:r>
    </w:p>
    <w:p w14:paraId="4ACB2FF6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Avellaneda, M. (2008) </w:t>
      </w:r>
      <w:r w:rsidRPr="00EC36D8">
        <w:rPr>
          <w:b w:val="0"/>
          <w:bCs w:val="0"/>
          <w:i/>
          <w:iCs/>
          <w:lang w:val="en-US"/>
        </w:rPr>
        <w:t>Statistical arbitrage in the U.S. equities market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Quantitative Finance, 8(3), s. 5-15.</w:t>
      </w:r>
    </w:p>
    <w:p w14:paraId="6FFBCFD3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Chio, D. (2022) </w:t>
      </w:r>
      <w:r w:rsidRPr="00EC36D8">
        <w:rPr>
          <w:b w:val="0"/>
          <w:bCs w:val="0"/>
          <w:i/>
          <w:iCs/>
          <w:lang w:val="en-US"/>
        </w:rPr>
        <w:t>Technical Analysis in Financial Markets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London: Finance Press, s. 16-33.</w:t>
      </w:r>
    </w:p>
    <w:p w14:paraId="2A60BB3A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Do, B. (2006) </w:t>
      </w:r>
      <w:r w:rsidRPr="00EC36D8">
        <w:rPr>
          <w:b w:val="0"/>
          <w:bCs w:val="0"/>
          <w:i/>
          <w:iCs/>
          <w:lang w:val="en-US"/>
        </w:rPr>
        <w:t>A new approach to modeling and estimation for pairs trading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Proceedings of the Financial Management Association, s. 10-15.</w:t>
      </w:r>
    </w:p>
    <w:p w14:paraId="5BFB775C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Elliott, R.J., van der Hoek, J., Malcolm, W.P. (2005) </w:t>
      </w:r>
      <w:r w:rsidRPr="00EC36D8">
        <w:rPr>
          <w:b w:val="0"/>
          <w:bCs w:val="0"/>
          <w:i/>
          <w:iCs/>
          <w:lang w:val="en-US"/>
        </w:rPr>
        <w:t>Pairs trading via stochastic control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Quantitative Finance, 5(3), s. 271-276.</w:t>
      </w:r>
    </w:p>
    <w:p w14:paraId="591EF5B6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Engle, R.F., Granger, C.W.J. (1987) </w:t>
      </w:r>
      <w:r w:rsidRPr="00EC36D8">
        <w:rPr>
          <w:b w:val="0"/>
          <w:bCs w:val="0"/>
          <w:i/>
          <w:iCs/>
          <w:lang w:val="en-US"/>
        </w:rPr>
        <w:t>Co-integration and error correction: Representation, estimation, and testing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Econometrica, 55(2), s. 254-270.</w:t>
      </w:r>
    </w:p>
    <w:p w14:paraId="13C53989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Fama, E.F. (1970) </w:t>
      </w:r>
      <w:r w:rsidRPr="00EC36D8">
        <w:rPr>
          <w:b w:val="0"/>
          <w:bCs w:val="0"/>
          <w:i/>
          <w:iCs/>
          <w:lang w:val="en-US"/>
        </w:rPr>
        <w:t>Efficient capital markets: A review of theory and empirical work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Journal of Finance, 25(2), s. 387-395.</w:t>
      </w:r>
    </w:p>
    <w:p w14:paraId="103CFE43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Gatev, E., Goetzmann, W.N., Rouwenhorst, K.G. (1999) </w:t>
      </w:r>
      <w:r w:rsidRPr="00EC36D8">
        <w:rPr>
          <w:b w:val="0"/>
          <w:bCs w:val="0"/>
          <w:i/>
          <w:iCs/>
          <w:lang w:val="en-US"/>
        </w:rPr>
        <w:t>Pairs trading: Performance of a relative-value arbitrage rule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Review of Financial Studies, 19(3), s. 1-10.</w:t>
      </w:r>
    </w:p>
    <w:p w14:paraId="0EF2FA61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Gatev, E., Goetzmann, W.N., Rouwenhorst, K.G. (2006) </w:t>
      </w:r>
      <w:r w:rsidRPr="00EC36D8">
        <w:rPr>
          <w:b w:val="0"/>
          <w:bCs w:val="0"/>
          <w:i/>
          <w:iCs/>
          <w:lang w:val="en-US"/>
        </w:rPr>
        <w:t>Pairs trading: Performance update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Review of Financial Studies, 22(3), s. 20-30.</w:t>
      </w:r>
    </w:p>
    <w:p w14:paraId="1A7C0AE5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Ingersoll, J.E. (1987) </w:t>
      </w:r>
      <w:r w:rsidRPr="00EC36D8">
        <w:rPr>
          <w:b w:val="0"/>
          <w:bCs w:val="0"/>
          <w:i/>
          <w:iCs/>
          <w:lang w:val="en-US"/>
        </w:rPr>
        <w:t>Theory of Financial Decision Making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Rowman &amp; Littlefield, s. 166-180.</w:t>
      </w:r>
    </w:p>
    <w:p w14:paraId="23BABAC0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Jegadeesh, N., Titman, S. (1993) </w:t>
      </w:r>
      <w:r w:rsidRPr="00EC36D8">
        <w:rPr>
          <w:b w:val="0"/>
          <w:bCs w:val="0"/>
          <w:i/>
          <w:iCs/>
          <w:lang w:val="en-US"/>
        </w:rPr>
        <w:t>Returns to buying winners and selling losers: Implications for stock market efficiency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Journal of Finance, 48(1), s. 85-90.</w:t>
      </w:r>
    </w:p>
    <w:p w14:paraId="4D9B1D22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Kakushadze, Z. (2018) </w:t>
      </w:r>
      <w:r w:rsidRPr="00EC36D8">
        <w:rPr>
          <w:b w:val="0"/>
          <w:bCs w:val="0"/>
          <w:i/>
          <w:iCs/>
          <w:lang w:val="en-US"/>
        </w:rPr>
        <w:t>Quantitative trading: Algorithms, analytics, data, models, optimization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World Scientific, s. 15-16, 40-65.</w:t>
      </w:r>
    </w:p>
    <w:p w14:paraId="52B982D5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lastRenderedPageBreak/>
        <w:t>Krauss, C. (2017) </w:t>
      </w:r>
      <w:r w:rsidRPr="00EC36D8">
        <w:rPr>
          <w:b w:val="0"/>
          <w:bCs w:val="0"/>
          <w:i/>
          <w:iCs/>
          <w:lang w:val="en-US"/>
        </w:rPr>
        <w:t>Statistical arbitrage pairs trading strategies: Review and outlook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Journal of Economic Surveys, 31(2), s. 524-526.</w:t>
      </w:r>
    </w:p>
    <w:p w14:paraId="31DD0B48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Markiewicz, L., Kubińska, E. (2014) </w:t>
      </w:r>
      <w:r w:rsidRPr="00EC36D8">
        <w:rPr>
          <w:b w:val="0"/>
          <w:bCs w:val="0"/>
          <w:i/>
          <w:iCs/>
          <w:lang w:val="en-US"/>
        </w:rPr>
        <w:t>Behavioral finance in capital markets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Palgrave Macmillan, s. 41-45.</w:t>
      </w:r>
    </w:p>
    <w:p w14:paraId="0806A433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Moon, T. (2019) </w:t>
      </w:r>
      <w:r w:rsidRPr="00EC36D8">
        <w:rPr>
          <w:b w:val="0"/>
          <w:bCs w:val="0"/>
          <w:i/>
          <w:iCs/>
          <w:lang w:val="en-US"/>
        </w:rPr>
        <w:t>Mean reversion in financial markets: Evidence and implications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Journal of Portfolio Management, 45(4), s. 1-6.</w:t>
      </w:r>
    </w:p>
    <w:p w14:paraId="01D5E03E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Murphy, J.J. (1999) </w:t>
      </w:r>
      <w:r w:rsidRPr="00EC36D8">
        <w:rPr>
          <w:b w:val="0"/>
          <w:bCs w:val="0"/>
          <w:i/>
          <w:iCs/>
          <w:lang w:val="en-US"/>
        </w:rPr>
        <w:t>Technical Analysis of the Financial Markets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New York Institute of Finance, s. 195-213.</w:t>
      </w:r>
    </w:p>
    <w:p w14:paraId="05086858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Poterba, J.M., Summers, L.H. (1988) </w:t>
      </w:r>
      <w:r w:rsidRPr="00EC36D8">
        <w:rPr>
          <w:b w:val="0"/>
          <w:bCs w:val="0"/>
          <w:i/>
          <w:iCs/>
          <w:lang w:val="en-US"/>
        </w:rPr>
        <w:t>Mean reversion in stock prices: Evidence and implications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Journal of Financial Economics, 22(1), s. 27-59.</w:t>
      </w:r>
    </w:p>
    <w:p w14:paraId="2E97A5D4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Rad, H. (2016) </w:t>
      </w:r>
      <w:r w:rsidRPr="00EC36D8">
        <w:rPr>
          <w:b w:val="0"/>
          <w:bCs w:val="0"/>
          <w:i/>
          <w:iCs/>
          <w:lang w:val="en-US"/>
        </w:rPr>
        <w:t>Pairs trading based on statistical arbitrage: A cointegration approach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Journal of Trading, 11(1), s. 4-20.</w:t>
      </w:r>
    </w:p>
    <w:p w14:paraId="0AC186C8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Requejo, J. (2024) </w:t>
      </w:r>
      <w:r w:rsidRPr="00EC36D8">
        <w:rPr>
          <w:b w:val="0"/>
          <w:bCs w:val="0"/>
          <w:i/>
          <w:iCs/>
          <w:lang w:val="en-US"/>
        </w:rPr>
        <w:t>Market-neutral strategies: Theory and practice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Financial Analysts Journal, 80(1), s. 1-5.</w:t>
      </w:r>
    </w:p>
    <w:p w14:paraId="3D5C69E8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 xml:space="preserve">Rubesam, A. (2021) *The decline of pairs trading profitability: Evidence from 2003-2020*. </w:t>
      </w:r>
      <w:r w:rsidRPr="00EC36D8">
        <w:rPr>
          <w:b w:val="0"/>
          <w:bCs w:val="0"/>
        </w:rPr>
        <w:t>Journal of Financial Markets, 54, s. 1-15.</w:t>
      </w:r>
    </w:p>
    <w:p w14:paraId="1D57B0CE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Sekuła, P. (2016) </w:t>
      </w:r>
      <w:r w:rsidRPr="00EC36D8">
        <w:rPr>
          <w:b w:val="0"/>
          <w:bCs w:val="0"/>
          <w:i/>
          <w:iCs/>
          <w:lang w:val="en-US"/>
        </w:rPr>
        <w:t>Momentum strategies in the Polish stock market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Economic Research, 29(1), s. 289-298.</w:t>
      </w:r>
    </w:p>
    <w:p w14:paraId="48267D97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</w:rPr>
        <w:t>Ślepaczuk, R. (2004) </w:t>
      </w:r>
      <w:r w:rsidRPr="00EC36D8">
        <w:rPr>
          <w:b w:val="0"/>
          <w:bCs w:val="0"/>
          <w:i/>
          <w:iCs/>
        </w:rPr>
        <w:t>Analiza techniczna na rynku kapitałowym</w:t>
      </w:r>
      <w:r w:rsidRPr="00EC36D8">
        <w:rPr>
          <w:b w:val="0"/>
          <w:bCs w:val="0"/>
        </w:rPr>
        <w:t>. Warsaw: WIG-Press, s. 175-177.</w:t>
      </w:r>
    </w:p>
    <w:p w14:paraId="07ACF0E3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Vidyamurthy, G. (2004) </w:t>
      </w:r>
      <w:r w:rsidRPr="00EC36D8">
        <w:rPr>
          <w:b w:val="0"/>
          <w:bCs w:val="0"/>
          <w:i/>
          <w:iCs/>
          <w:lang w:val="en-US"/>
        </w:rPr>
        <w:t>Pairs Trading: Quantitative Methods and Analysis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Wiley, s. 139-149.</w:t>
      </w:r>
    </w:p>
    <w:p w14:paraId="10A1DE94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Xing, Y. (2024) </w:t>
      </w:r>
      <w:r w:rsidRPr="00EC36D8">
        <w:rPr>
          <w:b w:val="0"/>
          <w:bCs w:val="0"/>
          <w:i/>
          <w:iCs/>
          <w:lang w:val="en-US"/>
        </w:rPr>
        <w:t>The prevalence of technical and fundamental analysis in global markets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Journal of Financial Economics, 133(2), s. 3334.</w:t>
      </w:r>
    </w:p>
    <w:p w14:paraId="2CE48A64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lastRenderedPageBreak/>
        <w:t>Zhu, H. (2024) </w:t>
      </w:r>
      <w:r w:rsidRPr="00EC36D8">
        <w:rPr>
          <w:b w:val="0"/>
          <w:bCs w:val="0"/>
          <w:i/>
          <w:iCs/>
          <w:lang w:val="en-US"/>
        </w:rPr>
        <w:t>Revisiting pairs trading in the 21st century: New evidence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Journal of Quantitative Finance, 24(1), s. 10-20.</w:t>
      </w:r>
    </w:p>
    <w:p w14:paraId="384C0A7C" w14:textId="77777777" w:rsidR="00030CAD" w:rsidRPr="00030CAD" w:rsidRDefault="00030CAD" w:rsidP="00030CAD">
      <w:pPr>
        <w:pStyle w:val="Heading3"/>
        <w:numPr>
          <w:ilvl w:val="0"/>
          <w:numId w:val="0"/>
        </w:numPr>
        <w:ind w:left="567" w:hanging="283"/>
      </w:pPr>
    </w:p>
    <w:sectPr w:rsidR="00030CAD" w:rsidRPr="00030CAD" w:rsidSect="00E01EEA">
      <w:footerReference w:type="even" r:id="rId21"/>
      <w:footerReference w:type="default" r:id="rId22"/>
      <w:pgSz w:w="11906" w:h="16838" w:code="9"/>
      <w:pgMar w:top="1418" w:right="1418" w:bottom="1418" w:left="1418" w:header="709" w:footer="709" w:gutter="170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ichał Rubaszek" w:date="2025-07-26T13:00:00Z" w:initials="MR">
    <w:p w14:paraId="15328641" w14:textId="77777777" w:rsidR="0051364D" w:rsidRDefault="0051364D" w:rsidP="0051364D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Proszę pisać w liczbie pojedynczej pierwszej osoby</w:t>
      </w:r>
    </w:p>
  </w:comment>
  <w:comment w:id="6" w:author="Michał Rubaszek" w:date="2025-07-26T13:24:00Z" w:initials="MR">
    <w:p w14:paraId="7BC810AB" w14:textId="77777777" w:rsidR="00D44844" w:rsidRDefault="00D44844" w:rsidP="00D44844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Proszę dodać numerację równań</w:t>
      </w:r>
    </w:p>
  </w:comment>
  <w:comment w:id="7" w:author="Michał Rubaszek" w:date="2025-07-26T13:31:00Z" w:initials="MR">
    <w:p w14:paraId="1E3429CC" w14:textId="77777777" w:rsidR="00D733FC" w:rsidRDefault="000C1108" w:rsidP="00D733FC">
      <w:pPr>
        <w:pStyle w:val="CommentText"/>
        <w:ind w:firstLine="0"/>
        <w:jc w:val="left"/>
      </w:pPr>
      <w:r>
        <w:rPr>
          <w:rStyle w:val="CommentReference"/>
        </w:rPr>
        <w:annotationRef/>
      </w:r>
      <w:r w:rsidR="00D733FC">
        <w:t>Tu był błąd… T to jest długość okna, ale brakuje oznaczenia „i” oraz „t”, opisującego aktywo oraz czas</w:t>
      </w:r>
    </w:p>
  </w:comment>
  <w:comment w:id="8" w:author="Michał Rubaszek" w:date="2025-07-26T13:32:00Z" w:initials="MR">
    <w:p w14:paraId="4B001FFB" w14:textId="74B35F67" w:rsidR="000C1108" w:rsidRDefault="000C1108" w:rsidP="000C110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Dlaczego tutaj nie ma indeksu „i” tak jak we wzorach (1)-(4)?</w:t>
      </w:r>
    </w:p>
  </w:comment>
  <w:comment w:id="9" w:author="Michał Rubaszek" w:date="2025-07-26T13:32:00Z" w:initials="MR">
    <w:p w14:paraId="11D5767C" w14:textId="77777777" w:rsidR="000C1108" w:rsidRDefault="000C1108" w:rsidP="000C110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Dlaczego tutaj nie ma oznaczenia P(t)?</w:t>
      </w:r>
    </w:p>
  </w:comment>
  <w:comment w:id="10" w:author="Michał Rubaszek" w:date="2025-07-26T13:38:00Z" w:initials="MR">
    <w:p w14:paraId="45119121" w14:textId="77777777" w:rsidR="00D13486" w:rsidRDefault="00D13486" w:rsidP="00D13486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Proszę uspójnić notację w równaniach</w:t>
      </w:r>
    </w:p>
  </w:comment>
  <w:comment w:id="11" w:author="Michał Rubaszek" w:date="2025-07-26T13:39:00Z" w:initials="MR">
    <w:p w14:paraId="0812A721" w14:textId="77777777" w:rsidR="009B4133" w:rsidRDefault="009B4133" w:rsidP="009B4133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Ponwnie do poprawy notacja oraz określenie czym jest średni zysk/strata</w:t>
      </w:r>
    </w:p>
  </w:comment>
  <w:comment w:id="12" w:author="Michał Rubaszek" w:date="2025-07-26T13:40:00Z" w:initials="MR">
    <w:p w14:paraId="65C32976" w14:textId="77777777" w:rsidR="00B92C06" w:rsidRDefault="00B92C06" w:rsidP="00B92C06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A nie można dać odwołania do pracy Bollingera?</w:t>
      </w:r>
    </w:p>
  </w:comment>
  <w:comment w:id="13" w:author="Michał Rubaszek" w:date="2025-07-26T13:43:00Z" w:initials="MR">
    <w:p w14:paraId="5502F7F9" w14:textId="77777777" w:rsidR="00987C32" w:rsidRDefault="00987C32" w:rsidP="00987C32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Znów oznaczenia do uspójnienia</w:t>
      </w:r>
    </w:p>
  </w:comment>
  <w:comment w:id="19" w:author="Michał Rubaszek" w:date="2025-07-26T13:46:00Z" w:initials="MR">
    <w:p w14:paraId="68847DF2" w14:textId="77777777" w:rsidR="00BB571B" w:rsidRDefault="00BB571B" w:rsidP="00BB571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W tekście powinny być odwołania do wszystkich wykresów i tabel</w:t>
      </w:r>
    </w:p>
  </w:comment>
  <w:comment w:id="21" w:author="Michał Rubaszek" w:date="2025-07-26T13:49:00Z" w:initials="MR">
    <w:p w14:paraId="275F128E" w14:textId="77777777" w:rsidR="00CF069A" w:rsidRDefault="00CF069A" w:rsidP="00CF069A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Dlaczego nie cytuje Pan Gateva?</w:t>
      </w:r>
    </w:p>
  </w:comment>
  <w:comment w:id="22" w:author="Michał Rubaszek" w:date="2025-07-26T13:50:00Z" w:initials="MR">
    <w:p w14:paraId="2F1E7728" w14:textId="77777777" w:rsidR="002C551B" w:rsidRDefault="002C551B" w:rsidP="002C551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Nie rozumiem tego zdania</w:t>
      </w:r>
    </w:p>
  </w:comment>
  <w:comment w:id="23" w:author="Michał Rubaszek" w:date="2025-07-26T13:53:00Z" w:initials="MR">
    <w:p w14:paraId="4A31D9CD" w14:textId="77777777" w:rsidR="0092316B" w:rsidRDefault="0092316B" w:rsidP="0092316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A czym jest tutaj k? Jak to oznaczenie ma się do wzorów (1)-(4)? Znów niespójność w notacji...</w:t>
      </w:r>
    </w:p>
  </w:comment>
  <w:comment w:id="24" w:author="Michał Rubaszek" w:date="2025-07-26T13:53:00Z" w:initials="MR">
    <w:p w14:paraId="2E7EBB66" w14:textId="77777777" w:rsidR="0092316B" w:rsidRDefault="0092316B" w:rsidP="0092316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Dlaczego 120 par? Z czego to wynika?</w:t>
      </w:r>
    </w:p>
  </w:comment>
  <w:comment w:id="25" w:author="Michał Rubaszek" w:date="2025-07-26T13:54:00Z" w:initials="MR">
    <w:p w14:paraId="074B19A1" w14:textId="77777777" w:rsidR="00561360" w:rsidRDefault="00561360" w:rsidP="00561360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Czym jest tutaj „m”?</w:t>
      </w:r>
    </w:p>
  </w:comment>
  <w:comment w:id="26" w:author="Michał Rubaszek" w:date="2025-07-26T14:00:00Z" w:initials="MR">
    <w:p w14:paraId="71878744" w14:textId="77777777" w:rsidR="00E22532" w:rsidRDefault="00E22532" w:rsidP="00E22532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Zapomniał Pan dodać, że u_t jest stacjonarne</w:t>
      </w:r>
    </w:p>
  </w:comment>
  <w:comment w:id="27" w:author="Michał Rubaszek" w:date="2025-07-26T14:18:00Z" w:initials="MR">
    <w:p w14:paraId="238D3F19" w14:textId="77777777" w:rsidR="00BF0CAC" w:rsidRDefault="00BF0CAC" w:rsidP="00BF0CAC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Ten fragment jest mało zrozumiały dla mnie...</w:t>
      </w:r>
    </w:p>
  </w:comment>
  <w:comment w:id="30" w:author="Michał Rubaszek" w:date="2025-07-26T14:33:00Z" w:initials="MR">
    <w:p w14:paraId="73FCF9D4" w14:textId="77777777" w:rsidR="008E6936" w:rsidRDefault="008E6936" w:rsidP="008E6936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Odwołania do wykresów</w:t>
      </w:r>
    </w:p>
  </w:comment>
  <w:comment w:id="31" w:author="Michał Rubaszek" w:date="2025-07-26T14:37:00Z" w:initials="MR">
    <w:p w14:paraId="06D68472" w14:textId="77777777" w:rsidR="00CF6773" w:rsidRDefault="00CF6773" w:rsidP="00CF6773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Czy te wzory nie są przypadkiem powtórzeniem z poprzedniego rozdziału. Proszę usunąć.</w:t>
      </w:r>
    </w:p>
  </w:comment>
  <w:comment w:id="35" w:author="Michał Rubaszek" w:date="2025-07-26T14:48:00Z" w:initials="MR">
    <w:p w14:paraId="13B51806" w14:textId="77777777" w:rsidR="00A2727E" w:rsidRDefault="00A2727E" w:rsidP="00A2727E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Portfela czy pary aktywów?</w:t>
      </w:r>
    </w:p>
  </w:comment>
  <w:comment w:id="39" w:author="Michał Rubaszek" w:date="2025-07-26T14:51:00Z" w:initials="MR">
    <w:p w14:paraId="5CAAD267" w14:textId="77777777" w:rsidR="0023570A" w:rsidRDefault="0023570A" w:rsidP="0023570A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A tu nie powinno być z minusem?</w:t>
      </w:r>
    </w:p>
  </w:comment>
  <w:comment w:id="40" w:author="Michał Rubaszek" w:date="2025-07-26T14:53:00Z" w:initials="MR">
    <w:p w14:paraId="597E69BA" w14:textId="77777777" w:rsidR="009263F0" w:rsidRDefault="009263F0" w:rsidP="009263F0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To chyba jest z definicji?</w:t>
      </w:r>
    </w:p>
  </w:comment>
  <w:comment w:id="41" w:author="Michał Rubaszek" w:date="2025-07-26T14:54:00Z" w:initials="MR">
    <w:p w14:paraId="1E33F471" w14:textId="77777777" w:rsidR="00AE3BFA" w:rsidRDefault="00AE3BFA" w:rsidP="00AE3BFA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Dla jakiej inwestycji?</w:t>
      </w:r>
    </w:p>
  </w:comment>
  <w:comment w:id="42" w:author="Michał Rubaszek" w:date="2025-07-26T14:55:00Z" w:initials="MR">
    <w:p w14:paraId="52681AD7" w14:textId="77777777" w:rsidR="002353FA" w:rsidRDefault="002353FA" w:rsidP="002353FA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To nie jest prawda – aby to zdanie było prawdziwe, musiałby Pan przedstawić wyniki bez pominięcia tych metod selekcji</w:t>
      </w:r>
    </w:p>
  </w:comment>
  <w:comment w:id="43" w:author="Michał Rubaszek" w:date="2025-07-26T14:56:00Z" w:initials="MR">
    <w:p w14:paraId="0AED4E4D" w14:textId="77777777" w:rsidR="00C23A87" w:rsidRDefault="00C23A87" w:rsidP="00C23A87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Dlaczego analiza jest dla lat 2022-2023, a nie dla 2024-2025?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328641" w15:done="1"/>
  <w15:commentEx w15:paraId="7BC810AB" w15:done="1"/>
  <w15:commentEx w15:paraId="1E3429CC" w15:done="0"/>
  <w15:commentEx w15:paraId="4B001FFB" w15:done="0"/>
  <w15:commentEx w15:paraId="11D5767C" w15:done="0"/>
  <w15:commentEx w15:paraId="45119121" w15:done="0"/>
  <w15:commentEx w15:paraId="0812A721" w15:done="0"/>
  <w15:commentEx w15:paraId="65C32976" w15:done="0"/>
  <w15:commentEx w15:paraId="5502F7F9" w15:done="0"/>
  <w15:commentEx w15:paraId="68847DF2" w15:done="0"/>
  <w15:commentEx w15:paraId="275F128E" w15:done="0"/>
  <w15:commentEx w15:paraId="2F1E7728" w15:done="0"/>
  <w15:commentEx w15:paraId="4A31D9CD" w15:done="0"/>
  <w15:commentEx w15:paraId="2E7EBB66" w15:done="0"/>
  <w15:commentEx w15:paraId="074B19A1" w15:done="0"/>
  <w15:commentEx w15:paraId="71878744" w15:done="0"/>
  <w15:commentEx w15:paraId="238D3F19" w15:done="0"/>
  <w15:commentEx w15:paraId="73FCF9D4" w15:done="0"/>
  <w15:commentEx w15:paraId="06D68472" w15:done="0"/>
  <w15:commentEx w15:paraId="13B51806" w15:done="0"/>
  <w15:commentEx w15:paraId="5CAAD267" w15:done="0"/>
  <w15:commentEx w15:paraId="597E69BA" w15:done="0"/>
  <w15:commentEx w15:paraId="1E33F471" w15:done="0"/>
  <w15:commentEx w15:paraId="52681AD7" w15:done="0"/>
  <w15:commentEx w15:paraId="0AED4E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A12E75" w16cex:dateUtc="2025-07-26T11:00:00Z"/>
  <w16cex:commentExtensible w16cex:durableId="27128829" w16cex:dateUtc="2025-07-26T11:24:00Z"/>
  <w16cex:commentExtensible w16cex:durableId="49B37401" w16cex:dateUtc="2025-07-26T11:31:00Z"/>
  <w16cex:commentExtensible w16cex:durableId="32770408" w16cex:dateUtc="2025-07-26T11:32:00Z"/>
  <w16cex:commentExtensible w16cex:durableId="1A9A2838" w16cex:dateUtc="2025-07-26T11:32:00Z"/>
  <w16cex:commentExtensible w16cex:durableId="601E0312" w16cex:dateUtc="2025-07-26T11:38:00Z"/>
  <w16cex:commentExtensible w16cex:durableId="20B91280" w16cex:dateUtc="2025-07-26T11:39:00Z"/>
  <w16cex:commentExtensible w16cex:durableId="67A63C42" w16cex:dateUtc="2025-07-26T11:40:00Z"/>
  <w16cex:commentExtensible w16cex:durableId="5A50301C" w16cex:dateUtc="2025-07-26T11:43:00Z"/>
  <w16cex:commentExtensible w16cex:durableId="779DDC6F" w16cex:dateUtc="2025-07-26T11:46:00Z"/>
  <w16cex:commentExtensible w16cex:durableId="0E55B498" w16cex:dateUtc="2025-07-26T11:49:00Z"/>
  <w16cex:commentExtensible w16cex:durableId="1D64B4E1" w16cex:dateUtc="2025-07-26T11:50:00Z"/>
  <w16cex:commentExtensible w16cex:durableId="509DD920" w16cex:dateUtc="2025-07-26T11:53:00Z"/>
  <w16cex:commentExtensible w16cex:durableId="2A758646" w16cex:dateUtc="2025-07-26T11:53:00Z"/>
  <w16cex:commentExtensible w16cex:durableId="11855636" w16cex:dateUtc="2025-07-26T11:54:00Z"/>
  <w16cex:commentExtensible w16cex:durableId="7AC252C6" w16cex:dateUtc="2025-07-26T12:00:00Z"/>
  <w16cex:commentExtensible w16cex:durableId="62EB938A" w16cex:dateUtc="2025-07-26T12:18:00Z"/>
  <w16cex:commentExtensible w16cex:durableId="59AAE880" w16cex:dateUtc="2025-07-26T12:33:00Z"/>
  <w16cex:commentExtensible w16cex:durableId="23038530" w16cex:dateUtc="2025-07-26T12:37:00Z"/>
  <w16cex:commentExtensible w16cex:durableId="12000780" w16cex:dateUtc="2025-07-26T12:48:00Z"/>
  <w16cex:commentExtensible w16cex:durableId="7AD7F29C" w16cex:dateUtc="2025-07-26T12:51:00Z"/>
  <w16cex:commentExtensible w16cex:durableId="29332164" w16cex:dateUtc="2025-07-26T12:53:00Z"/>
  <w16cex:commentExtensible w16cex:durableId="74CDCB44" w16cex:dateUtc="2025-07-26T12:54:00Z"/>
  <w16cex:commentExtensible w16cex:durableId="1F35AE75" w16cex:dateUtc="2025-07-26T12:55:00Z"/>
  <w16cex:commentExtensible w16cex:durableId="0A0DD94D" w16cex:dateUtc="2025-07-26T12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328641" w16cid:durableId="38A12E75"/>
  <w16cid:commentId w16cid:paraId="7BC810AB" w16cid:durableId="27128829"/>
  <w16cid:commentId w16cid:paraId="1E3429CC" w16cid:durableId="49B37401"/>
  <w16cid:commentId w16cid:paraId="4B001FFB" w16cid:durableId="32770408"/>
  <w16cid:commentId w16cid:paraId="11D5767C" w16cid:durableId="1A9A2838"/>
  <w16cid:commentId w16cid:paraId="45119121" w16cid:durableId="601E0312"/>
  <w16cid:commentId w16cid:paraId="0812A721" w16cid:durableId="20B91280"/>
  <w16cid:commentId w16cid:paraId="65C32976" w16cid:durableId="67A63C42"/>
  <w16cid:commentId w16cid:paraId="5502F7F9" w16cid:durableId="5A50301C"/>
  <w16cid:commentId w16cid:paraId="68847DF2" w16cid:durableId="779DDC6F"/>
  <w16cid:commentId w16cid:paraId="275F128E" w16cid:durableId="0E55B498"/>
  <w16cid:commentId w16cid:paraId="2F1E7728" w16cid:durableId="1D64B4E1"/>
  <w16cid:commentId w16cid:paraId="4A31D9CD" w16cid:durableId="509DD920"/>
  <w16cid:commentId w16cid:paraId="2E7EBB66" w16cid:durableId="2A758646"/>
  <w16cid:commentId w16cid:paraId="074B19A1" w16cid:durableId="11855636"/>
  <w16cid:commentId w16cid:paraId="71878744" w16cid:durableId="7AC252C6"/>
  <w16cid:commentId w16cid:paraId="238D3F19" w16cid:durableId="62EB938A"/>
  <w16cid:commentId w16cid:paraId="73FCF9D4" w16cid:durableId="59AAE880"/>
  <w16cid:commentId w16cid:paraId="06D68472" w16cid:durableId="23038530"/>
  <w16cid:commentId w16cid:paraId="13B51806" w16cid:durableId="12000780"/>
  <w16cid:commentId w16cid:paraId="5CAAD267" w16cid:durableId="7AD7F29C"/>
  <w16cid:commentId w16cid:paraId="597E69BA" w16cid:durableId="29332164"/>
  <w16cid:commentId w16cid:paraId="1E33F471" w16cid:durableId="74CDCB44"/>
  <w16cid:commentId w16cid:paraId="52681AD7" w16cid:durableId="1F35AE75"/>
  <w16cid:commentId w16cid:paraId="0AED4E4D" w16cid:durableId="0A0DD9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742C" w14:textId="77777777" w:rsidR="00EA550A" w:rsidRDefault="00EA550A" w:rsidP="00783405">
      <w:pPr>
        <w:spacing w:line="240" w:lineRule="auto"/>
      </w:pPr>
      <w:r>
        <w:separator/>
      </w:r>
    </w:p>
  </w:endnote>
  <w:endnote w:type="continuationSeparator" w:id="0">
    <w:p w14:paraId="36A0DF09" w14:textId="77777777" w:rsidR="00EA550A" w:rsidRDefault="00EA550A" w:rsidP="007834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8153252"/>
      <w:docPartObj>
        <w:docPartGallery w:val="Page Numbers (Bottom of Page)"/>
        <w:docPartUnique/>
      </w:docPartObj>
    </w:sdtPr>
    <w:sdtContent>
      <w:p w14:paraId="3467F265" w14:textId="7402A9A3" w:rsidR="00E01EEA" w:rsidRDefault="00E01EEA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BB3CAF" w14:textId="77777777" w:rsidR="00783405" w:rsidRDefault="007834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7535886"/>
      <w:docPartObj>
        <w:docPartGallery w:val="Page Numbers (Bottom of Page)"/>
        <w:docPartUnique/>
      </w:docPartObj>
    </w:sdtPr>
    <w:sdtContent>
      <w:p w14:paraId="6A90A3B1" w14:textId="7DA71377" w:rsidR="00E01EEA" w:rsidRDefault="00E01EE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AA666D" w14:textId="77777777" w:rsidR="00783405" w:rsidRDefault="00783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7830" w14:textId="77777777" w:rsidR="00EA550A" w:rsidRDefault="00EA550A" w:rsidP="00783405">
      <w:pPr>
        <w:spacing w:line="240" w:lineRule="auto"/>
      </w:pPr>
      <w:r>
        <w:separator/>
      </w:r>
    </w:p>
  </w:footnote>
  <w:footnote w:type="continuationSeparator" w:id="0">
    <w:p w14:paraId="4D90768D" w14:textId="77777777" w:rsidR="00EA550A" w:rsidRDefault="00EA550A" w:rsidP="007834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5D0"/>
    <w:multiLevelType w:val="hybridMultilevel"/>
    <w:tmpl w:val="4FB083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66A56"/>
    <w:multiLevelType w:val="hybridMultilevel"/>
    <w:tmpl w:val="51243A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339CE"/>
    <w:multiLevelType w:val="hybridMultilevel"/>
    <w:tmpl w:val="B3B0DEB0"/>
    <w:lvl w:ilvl="0" w:tplc="0415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9676550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A2D1AF6"/>
    <w:multiLevelType w:val="hybridMultilevel"/>
    <w:tmpl w:val="CF1C1572"/>
    <w:lvl w:ilvl="0" w:tplc="0415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5D65786"/>
    <w:multiLevelType w:val="hybridMultilevel"/>
    <w:tmpl w:val="086676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718EA"/>
    <w:multiLevelType w:val="hybridMultilevel"/>
    <w:tmpl w:val="14DC7DB4"/>
    <w:lvl w:ilvl="0" w:tplc="0415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1FB801B9"/>
    <w:multiLevelType w:val="multilevel"/>
    <w:tmpl w:val="0F8845B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FBD0F7C"/>
    <w:multiLevelType w:val="hybridMultilevel"/>
    <w:tmpl w:val="6F103A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F62B7"/>
    <w:multiLevelType w:val="multilevel"/>
    <w:tmpl w:val="9614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CF1369"/>
    <w:multiLevelType w:val="hybridMultilevel"/>
    <w:tmpl w:val="97F4146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35458EB"/>
    <w:multiLevelType w:val="hybridMultilevel"/>
    <w:tmpl w:val="ED708ED2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A9C32BE"/>
    <w:multiLevelType w:val="hybridMultilevel"/>
    <w:tmpl w:val="C3F06370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3240EB9"/>
    <w:multiLevelType w:val="hybridMultilevel"/>
    <w:tmpl w:val="15E07D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11E42"/>
    <w:multiLevelType w:val="hybridMultilevel"/>
    <w:tmpl w:val="89FC2F6E"/>
    <w:lvl w:ilvl="0" w:tplc="1A546CC0">
      <w:start w:val="1"/>
      <w:numFmt w:val="decimal"/>
      <w:lvlText w:val="%1.1"/>
      <w:lvlJc w:val="left"/>
      <w:pPr>
        <w:ind w:left="1004" w:hanging="360"/>
      </w:pPr>
    </w:lvl>
    <w:lvl w:ilvl="1" w:tplc="04150019" w:tentative="1">
      <w:start w:val="1"/>
      <w:numFmt w:val="lowerLetter"/>
      <w:lvlText w:val="%2."/>
      <w:lvlJc w:val="left"/>
      <w:pPr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E1A7AD4"/>
    <w:multiLevelType w:val="hybridMultilevel"/>
    <w:tmpl w:val="D9A8B3C4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F05324D"/>
    <w:multiLevelType w:val="multilevel"/>
    <w:tmpl w:val="D2F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61219"/>
    <w:multiLevelType w:val="multilevel"/>
    <w:tmpl w:val="F91A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A7C87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60E0EA7"/>
    <w:multiLevelType w:val="multilevel"/>
    <w:tmpl w:val="9DD8F5F6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7757157"/>
    <w:multiLevelType w:val="hybridMultilevel"/>
    <w:tmpl w:val="A91C408A"/>
    <w:lvl w:ilvl="0" w:tplc="0415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7AE6482"/>
    <w:multiLevelType w:val="hybridMultilevel"/>
    <w:tmpl w:val="1E32A4EC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D6E139A"/>
    <w:multiLevelType w:val="hybridMultilevel"/>
    <w:tmpl w:val="8C285604"/>
    <w:lvl w:ilvl="0" w:tplc="FA4A8B4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752134"/>
    <w:multiLevelType w:val="multilevel"/>
    <w:tmpl w:val="0F7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F5495C"/>
    <w:multiLevelType w:val="hybridMultilevel"/>
    <w:tmpl w:val="2C6EF6E8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0747158"/>
    <w:multiLevelType w:val="multilevel"/>
    <w:tmpl w:val="0FBAB23E"/>
    <w:lvl w:ilvl="0">
      <w:start w:val="1"/>
      <w:numFmt w:val="decimal"/>
      <w:pStyle w:val="Tit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2E86D67"/>
    <w:multiLevelType w:val="hybridMultilevel"/>
    <w:tmpl w:val="7088A8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11CB9"/>
    <w:multiLevelType w:val="hybridMultilevel"/>
    <w:tmpl w:val="250209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096098">
    <w:abstractNumId w:val="5"/>
  </w:num>
  <w:num w:numId="2" w16cid:durableId="930968324">
    <w:abstractNumId w:val="10"/>
  </w:num>
  <w:num w:numId="3" w16cid:durableId="1167289148">
    <w:abstractNumId w:val="8"/>
  </w:num>
  <w:num w:numId="4" w16cid:durableId="598878995">
    <w:abstractNumId w:val="14"/>
  </w:num>
  <w:num w:numId="5" w16cid:durableId="2133668900">
    <w:abstractNumId w:val="4"/>
  </w:num>
  <w:num w:numId="6" w16cid:durableId="1044450134">
    <w:abstractNumId w:val="3"/>
  </w:num>
  <w:num w:numId="7" w16cid:durableId="1398822125">
    <w:abstractNumId w:val="18"/>
  </w:num>
  <w:num w:numId="8" w16cid:durableId="1423989475">
    <w:abstractNumId w:val="25"/>
  </w:num>
  <w:num w:numId="9" w16cid:durableId="582883564">
    <w:abstractNumId w:val="19"/>
  </w:num>
  <w:num w:numId="10" w16cid:durableId="238367771">
    <w:abstractNumId w:val="7"/>
  </w:num>
  <w:num w:numId="11" w16cid:durableId="1364555142">
    <w:abstractNumId w:val="22"/>
  </w:num>
  <w:num w:numId="12" w16cid:durableId="1446735987">
    <w:abstractNumId w:val="22"/>
  </w:num>
  <w:num w:numId="13" w16cid:durableId="302393416">
    <w:abstractNumId w:val="22"/>
    <w:lvlOverride w:ilvl="0">
      <w:startOverride w:val="1"/>
    </w:lvlOverride>
  </w:num>
  <w:num w:numId="14" w16cid:durableId="11401513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9355564">
    <w:abstractNumId w:val="7"/>
  </w:num>
  <w:num w:numId="16" w16cid:durableId="20544969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09895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1551313">
    <w:abstractNumId w:val="13"/>
  </w:num>
  <w:num w:numId="19" w16cid:durableId="913396996">
    <w:abstractNumId w:val="15"/>
  </w:num>
  <w:num w:numId="20" w16cid:durableId="1015307540">
    <w:abstractNumId w:val="1"/>
  </w:num>
  <w:num w:numId="21" w16cid:durableId="1368067532">
    <w:abstractNumId w:val="26"/>
  </w:num>
  <w:num w:numId="22" w16cid:durableId="923958189">
    <w:abstractNumId w:val="0"/>
  </w:num>
  <w:num w:numId="23" w16cid:durableId="674655450">
    <w:abstractNumId w:val="12"/>
  </w:num>
  <w:num w:numId="24" w16cid:durableId="409541543">
    <w:abstractNumId w:val="27"/>
  </w:num>
  <w:num w:numId="25" w16cid:durableId="548229811">
    <w:abstractNumId w:val="21"/>
  </w:num>
  <w:num w:numId="26" w16cid:durableId="1152140974">
    <w:abstractNumId w:val="11"/>
  </w:num>
  <w:num w:numId="27" w16cid:durableId="401023629">
    <w:abstractNumId w:val="23"/>
  </w:num>
  <w:num w:numId="28" w16cid:durableId="291787989">
    <w:abstractNumId w:val="17"/>
  </w:num>
  <w:num w:numId="29" w16cid:durableId="804857511">
    <w:abstractNumId w:val="2"/>
  </w:num>
  <w:num w:numId="30" w16cid:durableId="1167483105">
    <w:abstractNumId w:val="20"/>
  </w:num>
  <w:num w:numId="31" w16cid:durableId="707680001">
    <w:abstractNumId w:val="6"/>
  </w:num>
  <w:num w:numId="32" w16cid:durableId="685516995">
    <w:abstractNumId w:val="24"/>
  </w:num>
  <w:num w:numId="33" w16cid:durableId="518741886">
    <w:abstractNumId w:val="16"/>
  </w:num>
  <w:num w:numId="34" w16cid:durableId="114304131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ł Rubaszek">
    <w15:presenceInfo w15:providerId="AD" w15:userId="S::mrubas@sgh.waw.pl::e4af8193-2434-442d-a694-a94259ccd8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02"/>
    <w:rsid w:val="0000021E"/>
    <w:rsid w:val="000308D4"/>
    <w:rsid w:val="00030CAD"/>
    <w:rsid w:val="00040172"/>
    <w:rsid w:val="00044DA3"/>
    <w:rsid w:val="0004506D"/>
    <w:rsid w:val="00050A0E"/>
    <w:rsid w:val="00053660"/>
    <w:rsid w:val="00066812"/>
    <w:rsid w:val="00067558"/>
    <w:rsid w:val="00067659"/>
    <w:rsid w:val="00074892"/>
    <w:rsid w:val="0007746C"/>
    <w:rsid w:val="00083898"/>
    <w:rsid w:val="000848A5"/>
    <w:rsid w:val="000974EA"/>
    <w:rsid w:val="000B1B5F"/>
    <w:rsid w:val="000B43D8"/>
    <w:rsid w:val="000B7924"/>
    <w:rsid w:val="000C0536"/>
    <w:rsid w:val="000C1108"/>
    <w:rsid w:val="000C35E4"/>
    <w:rsid w:val="000D19F3"/>
    <w:rsid w:val="000D4CBF"/>
    <w:rsid w:val="000D5595"/>
    <w:rsid w:val="000E453B"/>
    <w:rsid w:val="000E628A"/>
    <w:rsid w:val="000E6820"/>
    <w:rsid w:val="0010312F"/>
    <w:rsid w:val="00104BD9"/>
    <w:rsid w:val="001053B7"/>
    <w:rsid w:val="001055A6"/>
    <w:rsid w:val="00105A7F"/>
    <w:rsid w:val="001072FA"/>
    <w:rsid w:val="00110A98"/>
    <w:rsid w:val="001138AD"/>
    <w:rsid w:val="00120E49"/>
    <w:rsid w:val="00120E51"/>
    <w:rsid w:val="0013473D"/>
    <w:rsid w:val="001375CC"/>
    <w:rsid w:val="001401C3"/>
    <w:rsid w:val="001476C2"/>
    <w:rsid w:val="00150B12"/>
    <w:rsid w:val="00153B7F"/>
    <w:rsid w:val="00166696"/>
    <w:rsid w:val="00170D39"/>
    <w:rsid w:val="00171D74"/>
    <w:rsid w:val="0017345D"/>
    <w:rsid w:val="00181533"/>
    <w:rsid w:val="00182890"/>
    <w:rsid w:val="001834D2"/>
    <w:rsid w:val="00197887"/>
    <w:rsid w:val="001B18BA"/>
    <w:rsid w:val="001B5DD8"/>
    <w:rsid w:val="001C4E32"/>
    <w:rsid w:val="001C7894"/>
    <w:rsid w:val="001D0650"/>
    <w:rsid w:val="001D2597"/>
    <w:rsid w:val="001D3ACC"/>
    <w:rsid w:val="001D5DA4"/>
    <w:rsid w:val="001D6DBE"/>
    <w:rsid w:val="001E03F3"/>
    <w:rsid w:val="001E590D"/>
    <w:rsid w:val="001E64D2"/>
    <w:rsid w:val="001E7A6B"/>
    <w:rsid w:val="001F0071"/>
    <w:rsid w:val="001F6F0C"/>
    <w:rsid w:val="001F7066"/>
    <w:rsid w:val="00206960"/>
    <w:rsid w:val="0021440C"/>
    <w:rsid w:val="00220B12"/>
    <w:rsid w:val="00234513"/>
    <w:rsid w:val="002353FA"/>
    <w:rsid w:val="0023570A"/>
    <w:rsid w:val="002414BC"/>
    <w:rsid w:val="00244FDD"/>
    <w:rsid w:val="00256F09"/>
    <w:rsid w:val="002700DF"/>
    <w:rsid w:val="00270C22"/>
    <w:rsid w:val="00281EF8"/>
    <w:rsid w:val="002825C5"/>
    <w:rsid w:val="00284D4F"/>
    <w:rsid w:val="0028501D"/>
    <w:rsid w:val="00285594"/>
    <w:rsid w:val="00287255"/>
    <w:rsid w:val="00296476"/>
    <w:rsid w:val="00297004"/>
    <w:rsid w:val="002A2D41"/>
    <w:rsid w:val="002B065B"/>
    <w:rsid w:val="002B0D99"/>
    <w:rsid w:val="002B4BF8"/>
    <w:rsid w:val="002C551B"/>
    <w:rsid w:val="002C73FD"/>
    <w:rsid w:val="002F152E"/>
    <w:rsid w:val="002F73E9"/>
    <w:rsid w:val="002F7FFE"/>
    <w:rsid w:val="00303C6E"/>
    <w:rsid w:val="00316741"/>
    <w:rsid w:val="003263FC"/>
    <w:rsid w:val="00326DF2"/>
    <w:rsid w:val="0032735B"/>
    <w:rsid w:val="0033087B"/>
    <w:rsid w:val="00331804"/>
    <w:rsid w:val="00333282"/>
    <w:rsid w:val="003359DF"/>
    <w:rsid w:val="00347324"/>
    <w:rsid w:val="00347F64"/>
    <w:rsid w:val="003526FB"/>
    <w:rsid w:val="00354CE0"/>
    <w:rsid w:val="0035671F"/>
    <w:rsid w:val="00364EAA"/>
    <w:rsid w:val="003742CB"/>
    <w:rsid w:val="00383BE8"/>
    <w:rsid w:val="00384B83"/>
    <w:rsid w:val="00392894"/>
    <w:rsid w:val="0039705D"/>
    <w:rsid w:val="003A1147"/>
    <w:rsid w:val="003A14ED"/>
    <w:rsid w:val="003A73BF"/>
    <w:rsid w:val="003B0ED4"/>
    <w:rsid w:val="003C3D3C"/>
    <w:rsid w:val="003C4A75"/>
    <w:rsid w:val="003C57C5"/>
    <w:rsid w:val="003D65EB"/>
    <w:rsid w:val="003F05E7"/>
    <w:rsid w:val="003F7373"/>
    <w:rsid w:val="00412C21"/>
    <w:rsid w:val="004160E2"/>
    <w:rsid w:val="00421835"/>
    <w:rsid w:val="0042372D"/>
    <w:rsid w:val="00430DF3"/>
    <w:rsid w:val="00433833"/>
    <w:rsid w:val="00434720"/>
    <w:rsid w:val="0043481D"/>
    <w:rsid w:val="004445ED"/>
    <w:rsid w:val="00444817"/>
    <w:rsid w:val="00445590"/>
    <w:rsid w:val="00445B6B"/>
    <w:rsid w:val="00446B0C"/>
    <w:rsid w:val="00450888"/>
    <w:rsid w:val="004508DA"/>
    <w:rsid w:val="00451E40"/>
    <w:rsid w:val="00453DEA"/>
    <w:rsid w:val="004543E2"/>
    <w:rsid w:val="00463321"/>
    <w:rsid w:val="004635EA"/>
    <w:rsid w:val="004641B7"/>
    <w:rsid w:val="004714A9"/>
    <w:rsid w:val="00471799"/>
    <w:rsid w:val="00474130"/>
    <w:rsid w:val="00475432"/>
    <w:rsid w:val="004834E5"/>
    <w:rsid w:val="0049458B"/>
    <w:rsid w:val="004956F2"/>
    <w:rsid w:val="004A3303"/>
    <w:rsid w:val="004B0F61"/>
    <w:rsid w:val="004B2787"/>
    <w:rsid w:val="004B3595"/>
    <w:rsid w:val="004B4966"/>
    <w:rsid w:val="004C5DC0"/>
    <w:rsid w:val="004C6054"/>
    <w:rsid w:val="004C6F0C"/>
    <w:rsid w:val="004D57AB"/>
    <w:rsid w:val="004D6ED4"/>
    <w:rsid w:val="004E1ABE"/>
    <w:rsid w:val="004E4432"/>
    <w:rsid w:val="004F4BFB"/>
    <w:rsid w:val="004F4ED0"/>
    <w:rsid w:val="004F7FF7"/>
    <w:rsid w:val="0050062D"/>
    <w:rsid w:val="005054F8"/>
    <w:rsid w:val="00511761"/>
    <w:rsid w:val="00512559"/>
    <w:rsid w:val="0051364D"/>
    <w:rsid w:val="00521805"/>
    <w:rsid w:val="00530903"/>
    <w:rsid w:val="00532D0A"/>
    <w:rsid w:val="00532DAA"/>
    <w:rsid w:val="00535CEC"/>
    <w:rsid w:val="00541FB3"/>
    <w:rsid w:val="0055163D"/>
    <w:rsid w:val="00560830"/>
    <w:rsid w:val="00561360"/>
    <w:rsid w:val="0057265A"/>
    <w:rsid w:val="005779C9"/>
    <w:rsid w:val="00580FEC"/>
    <w:rsid w:val="005819B1"/>
    <w:rsid w:val="00583AC7"/>
    <w:rsid w:val="0059765A"/>
    <w:rsid w:val="005A27B5"/>
    <w:rsid w:val="005A2859"/>
    <w:rsid w:val="005A7B6B"/>
    <w:rsid w:val="005A7D9D"/>
    <w:rsid w:val="005B1C6C"/>
    <w:rsid w:val="005B2E2A"/>
    <w:rsid w:val="005B4D40"/>
    <w:rsid w:val="005B7836"/>
    <w:rsid w:val="005B7888"/>
    <w:rsid w:val="005C0DCE"/>
    <w:rsid w:val="005C4D67"/>
    <w:rsid w:val="005C7CDD"/>
    <w:rsid w:val="005E7547"/>
    <w:rsid w:val="005F1E0D"/>
    <w:rsid w:val="0060379D"/>
    <w:rsid w:val="006051BC"/>
    <w:rsid w:val="00606BF8"/>
    <w:rsid w:val="00613683"/>
    <w:rsid w:val="006169ED"/>
    <w:rsid w:val="00616D79"/>
    <w:rsid w:val="006217FF"/>
    <w:rsid w:val="00622FFE"/>
    <w:rsid w:val="00627825"/>
    <w:rsid w:val="00631DCD"/>
    <w:rsid w:val="006379EC"/>
    <w:rsid w:val="00640F8D"/>
    <w:rsid w:val="006432D3"/>
    <w:rsid w:val="006435B3"/>
    <w:rsid w:val="0065580C"/>
    <w:rsid w:val="00655C15"/>
    <w:rsid w:val="006648B2"/>
    <w:rsid w:val="006726BB"/>
    <w:rsid w:val="00682593"/>
    <w:rsid w:val="00683EA7"/>
    <w:rsid w:val="00683F7A"/>
    <w:rsid w:val="00686E93"/>
    <w:rsid w:val="00697D63"/>
    <w:rsid w:val="006A1FAA"/>
    <w:rsid w:val="006A6661"/>
    <w:rsid w:val="006A6A09"/>
    <w:rsid w:val="006B0C68"/>
    <w:rsid w:val="006B4C78"/>
    <w:rsid w:val="006C2043"/>
    <w:rsid w:val="006C2F21"/>
    <w:rsid w:val="006C4B34"/>
    <w:rsid w:val="006D236E"/>
    <w:rsid w:val="006D40F6"/>
    <w:rsid w:val="006F424E"/>
    <w:rsid w:val="006F6C8C"/>
    <w:rsid w:val="006F7183"/>
    <w:rsid w:val="006F793D"/>
    <w:rsid w:val="00700C9B"/>
    <w:rsid w:val="00706B59"/>
    <w:rsid w:val="00712E94"/>
    <w:rsid w:val="007212FA"/>
    <w:rsid w:val="007307DC"/>
    <w:rsid w:val="00737D31"/>
    <w:rsid w:val="00753BEB"/>
    <w:rsid w:val="00760A33"/>
    <w:rsid w:val="007642D2"/>
    <w:rsid w:val="007753B3"/>
    <w:rsid w:val="0077630C"/>
    <w:rsid w:val="0077634F"/>
    <w:rsid w:val="007826ED"/>
    <w:rsid w:val="00783405"/>
    <w:rsid w:val="00787889"/>
    <w:rsid w:val="00791B3F"/>
    <w:rsid w:val="0079584E"/>
    <w:rsid w:val="00796385"/>
    <w:rsid w:val="007A592B"/>
    <w:rsid w:val="007B3CC5"/>
    <w:rsid w:val="007B65D6"/>
    <w:rsid w:val="007C0C6B"/>
    <w:rsid w:val="007C181C"/>
    <w:rsid w:val="007C1DCE"/>
    <w:rsid w:val="007C4772"/>
    <w:rsid w:val="007C53C4"/>
    <w:rsid w:val="007C6528"/>
    <w:rsid w:val="007C680B"/>
    <w:rsid w:val="007D0F6D"/>
    <w:rsid w:val="007E493D"/>
    <w:rsid w:val="00800B89"/>
    <w:rsid w:val="00803D96"/>
    <w:rsid w:val="00805B72"/>
    <w:rsid w:val="00820EB5"/>
    <w:rsid w:val="008306B8"/>
    <w:rsid w:val="00833A8F"/>
    <w:rsid w:val="00837AEB"/>
    <w:rsid w:val="008424BB"/>
    <w:rsid w:val="008434AC"/>
    <w:rsid w:val="00843784"/>
    <w:rsid w:val="0084699D"/>
    <w:rsid w:val="008515D2"/>
    <w:rsid w:val="008522F9"/>
    <w:rsid w:val="00860D42"/>
    <w:rsid w:val="00862A9E"/>
    <w:rsid w:val="00865224"/>
    <w:rsid w:val="008705C4"/>
    <w:rsid w:val="008765A4"/>
    <w:rsid w:val="00876CA9"/>
    <w:rsid w:val="00877224"/>
    <w:rsid w:val="00887C88"/>
    <w:rsid w:val="008911BF"/>
    <w:rsid w:val="0089199B"/>
    <w:rsid w:val="00895E5C"/>
    <w:rsid w:val="008B480C"/>
    <w:rsid w:val="008C5BA1"/>
    <w:rsid w:val="008D0C3A"/>
    <w:rsid w:val="008E358A"/>
    <w:rsid w:val="008E3961"/>
    <w:rsid w:val="008E597A"/>
    <w:rsid w:val="008E6936"/>
    <w:rsid w:val="008F364A"/>
    <w:rsid w:val="008F6050"/>
    <w:rsid w:val="008F78E5"/>
    <w:rsid w:val="00906B10"/>
    <w:rsid w:val="009072B4"/>
    <w:rsid w:val="0092316B"/>
    <w:rsid w:val="00925E9D"/>
    <w:rsid w:val="009263F0"/>
    <w:rsid w:val="009369C9"/>
    <w:rsid w:val="00940A8B"/>
    <w:rsid w:val="00941002"/>
    <w:rsid w:val="009412EA"/>
    <w:rsid w:val="0094561D"/>
    <w:rsid w:val="009625AA"/>
    <w:rsid w:val="00963685"/>
    <w:rsid w:val="00967E77"/>
    <w:rsid w:val="009704E3"/>
    <w:rsid w:val="00985DE9"/>
    <w:rsid w:val="00987C32"/>
    <w:rsid w:val="009A0016"/>
    <w:rsid w:val="009A01A4"/>
    <w:rsid w:val="009A2F84"/>
    <w:rsid w:val="009A5D86"/>
    <w:rsid w:val="009B08D4"/>
    <w:rsid w:val="009B4133"/>
    <w:rsid w:val="009B566F"/>
    <w:rsid w:val="009B5D50"/>
    <w:rsid w:val="009C483F"/>
    <w:rsid w:val="009C759C"/>
    <w:rsid w:val="009D4F68"/>
    <w:rsid w:val="009E0906"/>
    <w:rsid w:val="009E0F6F"/>
    <w:rsid w:val="009E1BB0"/>
    <w:rsid w:val="009F3921"/>
    <w:rsid w:val="009F6122"/>
    <w:rsid w:val="009F6659"/>
    <w:rsid w:val="00A01A38"/>
    <w:rsid w:val="00A059F4"/>
    <w:rsid w:val="00A13C50"/>
    <w:rsid w:val="00A1639F"/>
    <w:rsid w:val="00A17DA3"/>
    <w:rsid w:val="00A20283"/>
    <w:rsid w:val="00A2727E"/>
    <w:rsid w:val="00A33300"/>
    <w:rsid w:val="00A44A4C"/>
    <w:rsid w:val="00A468E2"/>
    <w:rsid w:val="00A548C9"/>
    <w:rsid w:val="00A54F49"/>
    <w:rsid w:val="00A752A5"/>
    <w:rsid w:val="00A85C7D"/>
    <w:rsid w:val="00A871EE"/>
    <w:rsid w:val="00A916EF"/>
    <w:rsid w:val="00A93EB6"/>
    <w:rsid w:val="00AA279D"/>
    <w:rsid w:val="00AB05F8"/>
    <w:rsid w:val="00AC17EF"/>
    <w:rsid w:val="00AC2F4B"/>
    <w:rsid w:val="00AE1A5D"/>
    <w:rsid w:val="00AE3BFA"/>
    <w:rsid w:val="00AE5B19"/>
    <w:rsid w:val="00AF1373"/>
    <w:rsid w:val="00B07041"/>
    <w:rsid w:val="00B12378"/>
    <w:rsid w:val="00B31F45"/>
    <w:rsid w:val="00B33DDE"/>
    <w:rsid w:val="00B3491C"/>
    <w:rsid w:val="00B41FB3"/>
    <w:rsid w:val="00B44EB0"/>
    <w:rsid w:val="00B456A8"/>
    <w:rsid w:val="00B503DD"/>
    <w:rsid w:val="00B6059D"/>
    <w:rsid w:val="00B718D5"/>
    <w:rsid w:val="00B733D8"/>
    <w:rsid w:val="00B73EC3"/>
    <w:rsid w:val="00B74C88"/>
    <w:rsid w:val="00B75BDF"/>
    <w:rsid w:val="00B75C45"/>
    <w:rsid w:val="00B768B5"/>
    <w:rsid w:val="00B83984"/>
    <w:rsid w:val="00B92C06"/>
    <w:rsid w:val="00BB166D"/>
    <w:rsid w:val="00BB1A6F"/>
    <w:rsid w:val="00BB1D1E"/>
    <w:rsid w:val="00BB1D4B"/>
    <w:rsid w:val="00BB2FA7"/>
    <w:rsid w:val="00BB39C2"/>
    <w:rsid w:val="00BB43FB"/>
    <w:rsid w:val="00BB571B"/>
    <w:rsid w:val="00BC0E74"/>
    <w:rsid w:val="00BC25F7"/>
    <w:rsid w:val="00BC29B2"/>
    <w:rsid w:val="00BC5E81"/>
    <w:rsid w:val="00BD5DA0"/>
    <w:rsid w:val="00BD7C80"/>
    <w:rsid w:val="00BE703D"/>
    <w:rsid w:val="00BF0CAC"/>
    <w:rsid w:val="00BF0F90"/>
    <w:rsid w:val="00BF29AC"/>
    <w:rsid w:val="00BF3278"/>
    <w:rsid w:val="00BF4279"/>
    <w:rsid w:val="00BF4586"/>
    <w:rsid w:val="00BF59EC"/>
    <w:rsid w:val="00BF7CAC"/>
    <w:rsid w:val="00C03915"/>
    <w:rsid w:val="00C042B5"/>
    <w:rsid w:val="00C12F57"/>
    <w:rsid w:val="00C135D7"/>
    <w:rsid w:val="00C15256"/>
    <w:rsid w:val="00C1609A"/>
    <w:rsid w:val="00C20607"/>
    <w:rsid w:val="00C2362B"/>
    <w:rsid w:val="00C23A87"/>
    <w:rsid w:val="00C25CE7"/>
    <w:rsid w:val="00C32275"/>
    <w:rsid w:val="00C41FBA"/>
    <w:rsid w:val="00C464F7"/>
    <w:rsid w:val="00C50472"/>
    <w:rsid w:val="00C51FFC"/>
    <w:rsid w:val="00C531B9"/>
    <w:rsid w:val="00C540BC"/>
    <w:rsid w:val="00C5562C"/>
    <w:rsid w:val="00C66C11"/>
    <w:rsid w:val="00C671E3"/>
    <w:rsid w:val="00C766CE"/>
    <w:rsid w:val="00C93B4D"/>
    <w:rsid w:val="00CA19C0"/>
    <w:rsid w:val="00CA400D"/>
    <w:rsid w:val="00CA7DBF"/>
    <w:rsid w:val="00CC2116"/>
    <w:rsid w:val="00CC3748"/>
    <w:rsid w:val="00CC4E6B"/>
    <w:rsid w:val="00CD5A7E"/>
    <w:rsid w:val="00CD69C8"/>
    <w:rsid w:val="00CD772E"/>
    <w:rsid w:val="00CE7CA1"/>
    <w:rsid w:val="00CF069A"/>
    <w:rsid w:val="00CF183E"/>
    <w:rsid w:val="00CF6773"/>
    <w:rsid w:val="00D10414"/>
    <w:rsid w:val="00D13486"/>
    <w:rsid w:val="00D15275"/>
    <w:rsid w:val="00D26D72"/>
    <w:rsid w:val="00D44844"/>
    <w:rsid w:val="00D454E1"/>
    <w:rsid w:val="00D46846"/>
    <w:rsid w:val="00D52483"/>
    <w:rsid w:val="00D532A2"/>
    <w:rsid w:val="00D56198"/>
    <w:rsid w:val="00D56AD2"/>
    <w:rsid w:val="00D61EAC"/>
    <w:rsid w:val="00D711F6"/>
    <w:rsid w:val="00D733FC"/>
    <w:rsid w:val="00D82877"/>
    <w:rsid w:val="00D84166"/>
    <w:rsid w:val="00DA4039"/>
    <w:rsid w:val="00DA7CEF"/>
    <w:rsid w:val="00DB3BF1"/>
    <w:rsid w:val="00DD1D05"/>
    <w:rsid w:val="00DD1F2F"/>
    <w:rsid w:val="00DD4CD2"/>
    <w:rsid w:val="00DD6C7B"/>
    <w:rsid w:val="00DE6D79"/>
    <w:rsid w:val="00DE7639"/>
    <w:rsid w:val="00DF24A0"/>
    <w:rsid w:val="00DF5AE1"/>
    <w:rsid w:val="00E01EEA"/>
    <w:rsid w:val="00E116A2"/>
    <w:rsid w:val="00E14556"/>
    <w:rsid w:val="00E15292"/>
    <w:rsid w:val="00E15B75"/>
    <w:rsid w:val="00E22532"/>
    <w:rsid w:val="00E27F4F"/>
    <w:rsid w:val="00E31BCB"/>
    <w:rsid w:val="00E33F7E"/>
    <w:rsid w:val="00E340B3"/>
    <w:rsid w:val="00E3733F"/>
    <w:rsid w:val="00E50325"/>
    <w:rsid w:val="00E534C4"/>
    <w:rsid w:val="00E601CB"/>
    <w:rsid w:val="00E61A66"/>
    <w:rsid w:val="00E62F7A"/>
    <w:rsid w:val="00E66892"/>
    <w:rsid w:val="00E71E7B"/>
    <w:rsid w:val="00E72401"/>
    <w:rsid w:val="00E73597"/>
    <w:rsid w:val="00E7415E"/>
    <w:rsid w:val="00E95309"/>
    <w:rsid w:val="00E96B9B"/>
    <w:rsid w:val="00EA5296"/>
    <w:rsid w:val="00EA550A"/>
    <w:rsid w:val="00EA630D"/>
    <w:rsid w:val="00EA63C0"/>
    <w:rsid w:val="00EB1415"/>
    <w:rsid w:val="00EC0DAF"/>
    <w:rsid w:val="00EC2D5F"/>
    <w:rsid w:val="00EC36D8"/>
    <w:rsid w:val="00EC3F6C"/>
    <w:rsid w:val="00EC596D"/>
    <w:rsid w:val="00EC5F21"/>
    <w:rsid w:val="00ED2BC4"/>
    <w:rsid w:val="00ED39D9"/>
    <w:rsid w:val="00EE113A"/>
    <w:rsid w:val="00EE7978"/>
    <w:rsid w:val="00EF0983"/>
    <w:rsid w:val="00EF6AF6"/>
    <w:rsid w:val="00F01DEA"/>
    <w:rsid w:val="00F04064"/>
    <w:rsid w:val="00F04AB4"/>
    <w:rsid w:val="00F0590A"/>
    <w:rsid w:val="00F15894"/>
    <w:rsid w:val="00F20385"/>
    <w:rsid w:val="00F413F4"/>
    <w:rsid w:val="00F54C2C"/>
    <w:rsid w:val="00F552AB"/>
    <w:rsid w:val="00F560F9"/>
    <w:rsid w:val="00F563A2"/>
    <w:rsid w:val="00F61893"/>
    <w:rsid w:val="00F61F9B"/>
    <w:rsid w:val="00F62D9B"/>
    <w:rsid w:val="00F62FED"/>
    <w:rsid w:val="00F65FA0"/>
    <w:rsid w:val="00F75182"/>
    <w:rsid w:val="00F76EC9"/>
    <w:rsid w:val="00F825D9"/>
    <w:rsid w:val="00F93B9A"/>
    <w:rsid w:val="00F961EF"/>
    <w:rsid w:val="00FA1FA9"/>
    <w:rsid w:val="00FB0EDC"/>
    <w:rsid w:val="00FB6C8C"/>
    <w:rsid w:val="00FC27D3"/>
    <w:rsid w:val="00FC7AA7"/>
    <w:rsid w:val="00FD1A14"/>
    <w:rsid w:val="00FE5F6B"/>
    <w:rsid w:val="00FF136A"/>
    <w:rsid w:val="00FF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B0563"/>
  <w15:chartTrackingRefBased/>
  <w15:docId w15:val="{9F0EECC3-3A4A-4E9E-866D-F67FDE56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C3A"/>
    <w:pPr>
      <w:spacing w:after="0" w:line="360" w:lineRule="auto"/>
      <w:ind w:firstLine="284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002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Heading3"/>
    <w:link w:val="Heading2Char"/>
    <w:uiPriority w:val="9"/>
    <w:unhideWhenUsed/>
    <w:qFormat/>
    <w:rsid w:val="00030CAD"/>
    <w:pPr>
      <w:keepNext/>
      <w:keepLines/>
      <w:spacing w:before="160" w:after="80"/>
      <w:ind w:left="720" w:firstLine="0"/>
      <w:jc w:val="center"/>
      <w:outlineLvl w:val="1"/>
    </w:pPr>
    <w:rPr>
      <w:rFonts w:eastAsiaTheme="majorEastAsia" w:cs="Times New Roman"/>
      <w:b/>
      <w:bCs/>
      <w:sz w:val="32"/>
      <w:szCs w:val="32"/>
    </w:rPr>
  </w:style>
  <w:style w:type="paragraph" w:styleId="Heading3">
    <w:name w:val="heading 3"/>
    <w:basedOn w:val="Normal"/>
    <w:next w:val="Pierwszyakapit"/>
    <w:link w:val="Heading3Char"/>
    <w:uiPriority w:val="9"/>
    <w:unhideWhenUsed/>
    <w:qFormat/>
    <w:rsid w:val="00C32275"/>
    <w:pPr>
      <w:keepNext/>
      <w:keepLines/>
      <w:numPr>
        <w:ilvl w:val="1"/>
        <w:numId w:val="15"/>
      </w:numPr>
      <w:spacing w:before="160" w:after="80"/>
      <w:jc w:val="left"/>
      <w:outlineLvl w:val="2"/>
    </w:pPr>
    <w:rPr>
      <w:rFonts w:eastAsiaTheme="majorEastAsia" w:cstheme="majorBidi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CAD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275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02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Rozdział"/>
    <w:basedOn w:val="Normal"/>
    <w:next w:val="Pierwszyakapit"/>
    <w:link w:val="TitleChar"/>
    <w:uiPriority w:val="10"/>
    <w:qFormat/>
    <w:rsid w:val="00865224"/>
    <w:pPr>
      <w:numPr>
        <w:numId w:val="8"/>
      </w:num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32"/>
    </w:rPr>
  </w:style>
  <w:style w:type="character" w:customStyle="1" w:styleId="TitleChar">
    <w:name w:val="Title Char"/>
    <w:aliases w:val="Rozdział Char"/>
    <w:basedOn w:val="DefaultParagraphFont"/>
    <w:link w:val="Title"/>
    <w:uiPriority w:val="10"/>
    <w:rsid w:val="00865224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02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0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340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40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8340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405"/>
    <w:rPr>
      <w:rFonts w:ascii="Times New Roman" w:hAnsi="Times New Roman"/>
      <w:sz w:val="24"/>
    </w:rPr>
  </w:style>
  <w:style w:type="paragraph" w:customStyle="1" w:styleId="Pierwszyakapit">
    <w:name w:val="Pierwszy akapit"/>
    <w:basedOn w:val="Normal"/>
    <w:next w:val="Normal"/>
    <w:qFormat/>
    <w:rsid w:val="008D0C3A"/>
    <w:pPr>
      <w:ind w:firstLine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3383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3833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3833"/>
    <w:rPr>
      <w:vertAlign w:val="superscript"/>
    </w:rPr>
  </w:style>
  <w:style w:type="paragraph" w:styleId="BodyText">
    <w:name w:val="Body Text"/>
    <w:basedOn w:val="Normal"/>
    <w:link w:val="BodyTextChar"/>
    <w:uiPriority w:val="99"/>
    <w:unhideWhenUsed/>
    <w:rsid w:val="001072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072FA"/>
    <w:rPr>
      <w:rFonts w:ascii="Times New Roman" w:hAnsi="Times New Roman"/>
      <w:sz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1072F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1072FA"/>
    <w:rPr>
      <w:rFonts w:ascii="Times New Roman" w:hAnsi="Times New Roman"/>
      <w:sz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1072F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072FA"/>
    <w:rPr>
      <w:rFonts w:ascii="Times New Roman" w:hAnsi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1072FA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1072FA"/>
    <w:rPr>
      <w:rFonts w:ascii="Times New Roman" w:hAnsi="Times New Roman"/>
      <w:sz w:val="24"/>
    </w:rPr>
  </w:style>
  <w:style w:type="paragraph" w:customStyle="1" w:styleId="Podrozdzia">
    <w:name w:val="Podrozdział"/>
    <w:basedOn w:val="Title"/>
    <w:next w:val="Pierwszyakapit"/>
    <w:qFormat/>
    <w:rsid w:val="0049458B"/>
    <w:pPr>
      <w:numPr>
        <w:numId w:val="0"/>
      </w:numPr>
      <w:jc w:val="left"/>
    </w:pPr>
    <w:rPr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A630D"/>
    <w:pPr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A630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A630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A630D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93EB6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44A4C"/>
    <w:pPr>
      <w:spacing w:after="200" w:line="240" w:lineRule="auto"/>
      <w:jc w:val="left"/>
    </w:pPr>
    <w:rPr>
      <w:sz w:val="20"/>
      <w:szCs w:val="20"/>
    </w:rPr>
  </w:style>
  <w:style w:type="paragraph" w:styleId="List">
    <w:name w:val="List"/>
    <w:basedOn w:val="Normal"/>
    <w:uiPriority w:val="99"/>
    <w:unhideWhenUsed/>
    <w:rsid w:val="00384B83"/>
    <w:pPr>
      <w:ind w:left="283" w:hanging="283"/>
      <w:contextualSpacing/>
    </w:pPr>
  </w:style>
  <w:style w:type="paragraph" w:styleId="List4">
    <w:name w:val="List 4"/>
    <w:basedOn w:val="Normal"/>
    <w:uiPriority w:val="99"/>
    <w:unhideWhenUsed/>
    <w:rsid w:val="00384B83"/>
    <w:pPr>
      <w:ind w:left="1132" w:hanging="283"/>
      <w:contextualSpacing/>
    </w:pPr>
  </w:style>
  <w:style w:type="paragraph" w:styleId="NormalIndent">
    <w:name w:val="Normal Indent"/>
    <w:basedOn w:val="Normal"/>
    <w:uiPriority w:val="99"/>
    <w:unhideWhenUsed/>
    <w:rsid w:val="00384B83"/>
    <w:pPr>
      <w:ind w:left="708"/>
    </w:pPr>
  </w:style>
  <w:style w:type="table" w:styleId="TableGrid">
    <w:name w:val="Table Grid"/>
    <w:basedOn w:val="TableNormal"/>
    <w:uiPriority w:val="39"/>
    <w:rsid w:val="004F4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030CAD"/>
  </w:style>
  <w:style w:type="paragraph" w:styleId="Revision">
    <w:name w:val="Revision"/>
    <w:hidden/>
    <w:uiPriority w:val="99"/>
    <w:semiHidden/>
    <w:rsid w:val="009625AA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202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02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028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02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0283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8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53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8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62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E05A-3E8A-4291-BCE3-5CFDED558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40</Pages>
  <Words>6630</Words>
  <Characters>39783</Characters>
  <Application>Microsoft Office Word</Application>
  <DocSecurity>0</DocSecurity>
  <Lines>331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Lubera</dc:creator>
  <cp:keywords/>
  <dc:description/>
  <cp:lastModifiedBy>Maciej Lubera</cp:lastModifiedBy>
  <cp:revision>128</cp:revision>
  <dcterms:created xsi:type="dcterms:W3CDTF">2025-07-22T22:29:00Z</dcterms:created>
  <dcterms:modified xsi:type="dcterms:W3CDTF">2025-09-08T19:46:00Z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7edfa6a7-be1a-4102-8e03-efac0626f310</vt:lpwstr>
  </property>
</Properties>
</file>