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/>
          <w:color w:val="000000"/>
          <w:sz w:val="42"/>
        </w:rPr>
        <w:t>实验三 射频无源与有源电路</w:t>
      </w:r>
    </w:p>
    <w:p>
      <w:r>
        <w:rPr>
          <w:rFonts w:ascii="Calibri" w:hAnsi="Calibri" w:eastAsia="宋体"/>
          <w:b w:val="0"/>
          <w:color w:val="000000"/>
          <w:sz w:val="22"/>
        </w:rPr>
        <w:t>人工智能辅助的射频电路及天线设计仿真｜建议上机8学时｜ADS电路、平面EM与谐波平衡</w:t>
      </w:r>
    </w:p>
    <w:p>
      <w:r>
        <w:rPr>
          <w:rFonts w:ascii="Calibri" w:hAnsi="Calibri" w:eastAsia="宋体"/>
          <w:b w:val="0"/>
          <w:color w:val="000000"/>
          <w:sz w:val="22"/>
        </w:rPr>
        <w:t>本手册用于硕士及博士研究生的案例驱动上机学习。先完成固定参数基准模型，再进行AI辅助改进；所有指标均由实际工程和原始数据证明。参数与验收阈值是教学建议，正式使用前由教师在教学机上试运行确认。</w:t>
      </w:r>
    </w:p>
    <w:p>
      <w:r>
        <w:rPr>
          <w:rFonts w:ascii="Calibri" w:hAnsi="Calibri" w:eastAsia="宋体"/>
          <w:b w:val="0"/>
          <w:color w:val="000000"/>
          <w:sz w:val="22"/>
        </w:rPr>
        <w:t>任务：从阻抗匹配及功分器建立无源基准，再完成线性放大器匹配和非线性增益压缩。通过明确模型、激励和功率定义，掌握S参数与大信号分析的适用范围。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1440"/>
        <w:gridCol w:w="5112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子案例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建议课时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核心产物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 阻抗匹配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1.5学时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L网络、Smith图及输入阻抗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 功分器与滤波器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2学时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Wilkinson基准；可选三阶低通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 有源小信号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2学时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二端口增益、稳定性与匹配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 非线性压缩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1.5学时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HB阶数核验及1 dB压缩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数据分析与研讨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1学时</w:t>
            </w:r>
          </w:p>
        </w:tc>
        <w:tc>
          <w:tcPr>
            <w:tcW w:type="dxa" w:w="511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AI记录、模型边界及工程复现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43600" cy="1857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b w:val="0"/>
          <w:color w:val="000000"/>
          <w:sz w:val="22"/>
        </w:rPr>
        <w:t>辅助目录提供educational_active_2port.s2p和edu_soft_limiter.va，均为课程自编教学模型。前者是合成小信号数据，后者是理想无记忆限幅放大器；均不代表商用晶体管测量结果。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二 子案例A 阻抗匹配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304"/>
        <w:gridCol w:w="5472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连接关系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设计频率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2.45 GHz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扫频1—4 GHz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源/负载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50Ω / 100Ω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输入Term 1为50Ω，输出Term 2为100Ω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串联电感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3.2481 nH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源与负载节点之间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并联电容</w:t>
            </w:r>
          </w:p>
        </w:tc>
        <w:tc>
          <w:tcPr>
            <w:tcW w:type="dxa" w:w="230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0.6496 pF</w:t>
            </w:r>
          </w:p>
        </w:tc>
        <w:tc>
          <w:tcPr>
            <w:tcW w:type="dxa" w:w="54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负载节点与地之间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建立workspace及设计库，新建E3_A_match原理图。放置两个Term，设置Num分别为1和2，核对50Ω及100Ω端口阻抗。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按表连接串联L和负载端并联C，并加入S参数控制器。元件值显式填写nH/pF，频率显式填写GHz；参数名与单位统一。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先在2.45 GHz单点求解，再扫频。绘制S11、S21及输入阻抗；用Smith图检查设计点靠近匹配中心。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设计点的电容支路与100Ω负载并联后呈约50−j50Ω，串联电感约补偿+j50Ω。这是解析检查，应由电路计算独立验证。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分别将L和C改变±10%，记录匹配谷值与输入阻抗；比较哪一元件主要影响电抗补偿，哪一元件影响阻抗变换。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保持输出端口100Ω的功率波归一化再解释S21。若改为50Ω输出并加入显式100Ω负载，应重新说明电路拓扑与测量定义。</w:t>
      </w:r>
    </w:p>
    <w:p>
      <w:r>
        <w:rPr>
          <w:rFonts w:ascii="Calibri" w:hAnsi="Calibri" w:eastAsia="宋体"/>
          <w:b w:val="0"/>
          <w:color w:val="000000"/>
          <w:sz w:val="22"/>
        </w:rPr>
        <w:t>检查点：理想无损电路的设计点输入阻抗约50Ω，S11接近零反射；数值求解得到的有限dB谷值随精度变化，不要求“负无穷dB”的截图。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三 子案例B 功分器与滤波器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Wilkinson理想基准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建立三个50Ω端口。输入节点分别连接两条理想传输线到两个输出节点；在两个输出节点之间跨接100Ω隔离电阻。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使用TLIN或同等理想传输线模型：两条支路阻抗70.7107Ω，在2.45 GHz时电长度90°。输入与输出节点编号保持1、2、3一致。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扫频1.5—3.5 GHz，绘制S11、S21、S31、S23及两个输出相位差。设计点理论功分约−3.0103 dB，输出等相位、理想匹配和隔离。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将隔离电阻改为80、100、120Ω，比较隔离与输出匹配。即使输入端等分时隔离电阻不耗功，失配工况也会使其耗功。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用LineCalc将70.71Ω、90°转换为选定基板上的微带宽度和长度，记录基板厚度、铜厚、相对介电常数和损耗。物理版图不能直接沿用理想TLIN的所有结果。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三阶低通拓展</w:t>
      </w:r>
    </w:p>
    <w:p>
      <w:r>
        <w:rPr>
          <w:rFonts w:ascii="Calibri" w:hAnsi="Calibri" w:eastAsia="宋体"/>
          <w:b w:val="0"/>
          <w:color w:val="000000"/>
          <w:sz w:val="22"/>
        </w:rPr>
        <w:t>可追加50Ω、3 GHz截止的理想Butterworth低通：串联L1与L3各2.6526 nH，中间并联C2为2.1221 pF。先检查截止点附近约3 dB衰减，再换成微带实现并比较寄生与损耗。该拓展不要求所有学生同时完成。</w:t>
      </w:r>
    </w:p>
    <w:p>
      <w:r>
        <w:rPr>
          <w:rFonts w:ascii="Calibri" w:hAnsi="Calibri" w:eastAsia="宋体"/>
          <w:b w:val="0"/>
          <w:color w:val="000000"/>
          <w:sz w:val="22"/>
        </w:rPr>
        <w:t>版图学习：按[ADS02]和[ADS06]完成基板、层映射、端口、频段、边缘网格及Momentum求解。对含隔离电阻的版图，电阻须在电路/EM联合模型中正确接入，不能把无源导体EM模型当作已含电阻。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四 子案例C 有源小信号与稳定性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将educational_active_2port.s2p复制到ADS工程的data目录。使用二端口S参数文件元件连接两个50Ω端口，设置S参数扫频1—4 GHz。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核对文件头“GHz S RI R 50”，其数据排列为S11、S21、S12、S22的实部/虚部。用Data Display绘制四个S参数；S21的20 dB为教学模型设定。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计算Δ、Rollet K及稳定性因子μ等指标。若分母为零，应按单向器件极限或相应稳定性方法处理，不能用无穷/NaN曲线伪称验证成功。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在2.45 GHz提取输入/输出阻抗，以Smith图工具或L/C网络匹配50Ω；先调整一端并检查另一端的变化，再进行有限范围联合优化。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用独立频段及元件容差检查稳定性，报告传输增益、S11、S22、S12及匹配后的变化。提高增益不能以潜在不稳定为代价。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本S参数文件不包含噪声参数、偏置电流或非线性信息，因此本分支只评价小信号。噪声系数、压缩、互调及PAE分别需要相应数据和模型。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官方晶体管案例拓展</w:t>
      </w:r>
    </w:p>
    <w:p>
      <w:r>
        <w:rPr>
          <w:rFonts w:ascii="Calibri" w:hAnsi="Calibri" w:eastAsia="宋体"/>
          <w:b w:val="0"/>
          <w:color w:val="000000"/>
          <w:sz w:val="22"/>
        </w:rPr>
        <w:t>具备官方DemoKit时，阅读[ADS04]并使用其演示FET和技术包含文件，先做DC偏置扫描，再做小信号与匹配。教程的偏置/频段属于原案例，不能直接当作本2.45 GHz教学模型的设定；以本机示例和模型有效频段为准。</w:t>
      </w:r>
    </w:p>
    <w:p>
      <w:r>
        <w:rPr>
          <w:rFonts w:ascii="Calibri" w:hAnsi="Calibri" w:eastAsia="宋体"/>
          <w:b w:val="0"/>
          <w:color w:val="000000"/>
          <w:sz w:val="22"/>
        </w:rPr>
        <w:t>教师准备：确认DemoKit或厂商模型已合法安装并可求解。若只做上述自编二端口分支，也须说明它是行为级有源网络，而非完成了晶体管级器件设计。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五 子案例D 非线性谐波平衡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24"/>
        <w:gridCol w:w="4680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教学模型值</w:t>
            </w:r>
          </w:p>
        </w:tc>
        <w:tc>
          <w:tcPr>
            <w:tcW w:type="dxa" w:w="4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输入/输出阻抗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50Ω / 50Ω</w:t>
            </w:r>
          </w:p>
        </w:tc>
        <w:tc>
          <w:tcPr>
            <w:tcW w:type="dxa" w:w="4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匹配终端下测量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Av / Vlim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 / 2 V</w:t>
            </w:r>
          </w:p>
        </w:tc>
        <w:tc>
          <w:tcPr>
            <w:tcW w:type="dxa" w:w="4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开路电压增益 / 限幅尺度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频率 / 输入功率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2.45 GHz；−40至0 dBm</w:t>
            </w:r>
          </w:p>
        </w:tc>
        <w:tc>
          <w:tcPr>
            <w:tcW w:type="dxa" w:w="4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先粗扫再加密压缩区域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HB阶数</w:t>
            </w:r>
          </w:p>
        </w:tc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先5，再9与15阶</w:t>
            </w:r>
          </w:p>
        </w:tc>
        <w:tc>
          <w:tcPr>
            <w:tcW w:type="dxa" w:w="4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对基波及谐波做截断核验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通过本机ADS的Verilog-A模型导入/编译功能加入edu_soft_limiter.va并生成符号。端子in、out、gnd必须与输入、输出和公共地对应；先确认模型编译日志无错误。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该模型在输入呈50Ω，在输出呈50Ω的Thevenin等效，其开路输出由双曲正切限幅。外部50Ω负载使小信号电压增益约10，对应功率增益约20 dB。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使用单音可用功率源P_1Tone或同等元件，源阻抗50Ω；输出为50Ω电阻并标记vout。加入HB控制器，基频2.45 GHz，初始5阶。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由低功率点确认模型工作；以1 dB间隔扫描输入功率。用已匹配的源功率作为Pin，核对输入实际接收功率与源定义一致。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5. 提取输出基波的峰值幅度，按峰值电压平方除以2R求基波输出功率；若工具采用RMS或双边傅里叶系数，必须先做幅度换算。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6. 以低功率增益为基准，定位下降1 dB处的输入功率，并插值加密。基波压缩点与“总输出功率”压缩点不是同一个测量定义。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7. 改用9阶和15阶，比较压缩点与三次谐波。低阶差异明显时，增加阶数并降低功率步长，而非直接相信平滑曲线。</w:t>
      </w:r>
    </w:p>
    <w:p>
      <w:r>
        <w:rPr>
          <w:rFonts w:ascii="Calibri" w:hAnsi="Calibri" w:eastAsia="宋体"/>
          <w:b w:val="0"/>
          <w:color w:val="000000"/>
          <w:sz w:val="22"/>
        </w:rPr>
        <w:t>模型边界：该行为模型不含供电端、热效应及噪声，不能计算具有物理意义的DC效率或PAE。需要PAE时转用带供电端、偏置及非线性参数的器件模型，记录直流输入功率。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六 电路与EM联合分析及AI任务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联合分析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先用一段50Ω微带线学习Momentum：原理图MLIN与同尺寸版图采用同一基板，在端口参考面一致时比较S参数。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对放大器匹配网络或滤波器建立被动版图模型，明确端口及地参考。导出Touchstone后回到电路，连接有源模型及实际集总元件。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报告电路与EM结果的差异：耦合、边缘效应、损耗、参考面及离散元件封装。不能用无源版图的S21代表有源电路总增益。</w:t>
      </w:r>
    </w:p>
    <w:p>
      <w:pPr>
        <w:pStyle w:val="Heading2"/>
      </w:pPr>
      <w:r>
        <w:rPr>
          <w:rFonts w:ascii="Calibri" w:hAnsi="Calibri" w:eastAsia="宋体"/>
          <w:b w:val="0"/>
          <w:color w:val="000000"/>
          <w:sz w:val="24"/>
        </w:rPr>
        <w:t>AI辅助任务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1. 让AI检查端口阻抗、S参数列顺序、单位和匹配网络拓扑；先提交检查列表，再生成数据处理代码。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2. 把L/C变量约束在合理范围，采用有限扫描或多目标优化，目标同时包含匹配、增益和稳定性。保留未经AI优化的基准。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3. 让AI提取1 dB压缩点，必须提供功率定义和低功率参考点。人工检查一组HB数据，再比较阶数与步长变化对结论的影响。</w:t>
      </w:r>
    </w:p>
    <w:p>
      <w:pPr>
        <w:spacing w:after="100"/>
      </w:pPr>
      <w:r>
        <w:rPr>
          <w:rFonts w:ascii="Calibri" w:hAnsi="Calibri" w:eastAsia="宋体"/>
          <w:b w:val="0"/>
          <w:color w:val="000000"/>
          <w:sz w:val="22"/>
        </w:rPr>
        <w:t>4. 记录一次AI建议的错误及人工修正，如误用dB相加求线性功率、混淆S21与可用增益、或以S2P进行大信号分析。</w:t>
      </w:r>
    </w:p>
    <w:p>
      <w:r>
        <w:rPr>
          <w:rFonts w:ascii="Calibri" w:hAnsi="Calibri" w:eastAsia="宋体"/>
          <w:b w:val="0"/>
          <w:color w:val="000000"/>
          <w:sz w:val="22"/>
        </w:rPr>
        <w:t>提示示例：请检查我提供的ADS导出表，标明幅度采用峰值、RMS还是复数系数；给出换算依据与代码；对无法识别的列停止推断，输出待核对字段，不生成缺失性能。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七 结果记录与常见错误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528"/>
        <w:gridCol w:w="1440"/>
        <w:gridCol w:w="2664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案例/工况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实际值</w:t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证据文件</w:t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A设计点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输入阻抗与S11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B设计点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S21/S31/隔离/相位差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C匹配前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增益、K、μ与回波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C匹配后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增益、K、μ与回波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D 5/9/15阶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 dB输入压缩点与H3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  <w:tr>
        <w:trPr>
          <w:cantSplit/>
          <w:trHeight w:val="460" w:hRule="atLeast"/>
        </w:trPr>
        <w:tc>
          <w:tcPr>
            <w:tcW w:type="dxa" w:w="201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电路/EM</w:t>
            </w:r>
          </w:p>
        </w:tc>
        <w:tc>
          <w:tcPr>
            <w:tcW w:type="dxa" w:w="35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频率漂移、损耗及端口定义</w:t>
            </w:r>
          </w:p>
        </w:tc>
        <w:tc>
          <w:tcPr>
            <w:tcW w:type="dxa" w:w="1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26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rPr>
          <w:tblHeader/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错误现象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处理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HB没有压缩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确认用非线性模型，不是固定S2P；检查功率是否实际扫描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低功率增益偏差约6 dB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检查开路/匹配负载增益与峰值/RMS定义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Touchstone结果被调换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二端口顺序为S11、S21、S12、S22，不是按行依次排列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稳定性指标出现NaN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检查分母、频段、单向极限及无效插值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版图仿真与电路不一致</w:t>
            </w:r>
          </w:p>
        </w:tc>
        <w:tc>
          <w:tcPr>
            <w:tcW w:type="dxa" w:w="64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地层、基板、端口校准、参考面及未包含的集总器件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报告必含：原理图、数据文件头、匹配前后Smith图、功分器幅相曲线、稳定性曲线、输出基波功率与增益压缩曲线、HB阶数核验和AI修改记录。所有实际值均由学生运行后填写。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宋体"/>
          <w:b/>
          <w:color w:val="000000"/>
          <w:sz w:val="28"/>
        </w:rPr>
        <w:t>八 提交评价与资料入口</w:t>
      </w:r>
    </w:p>
    <w:p>
      <w:r>
        <w:rPr>
          <w:rFonts w:ascii="Calibri" w:hAnsi="Calibri" w:eastAsia="宋体"/>
          <w:b w:val="0"/>
          <w:color w:val="000000"/>
          <w:sz w:val="22"/>
        </w:rPr>
        <w:t>每次实验均提交原始工程、参数表、原始导出数据、AI提示与修改记录，以及4—6页实验报告。压缩包按“学号_姓名_实验编号_软件版本”命名。个人贡献、异常现象和未达标原因必须写入报告。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64"/>
        <w:gridCol w:w="6552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评分项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/>
                <w:color w:val="FFFFFF"/>
                <w:sz w:val="20"/>
              </w:rPr>
              <w:t>证据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物理模型与设置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材料、端口、边界、求解设置可追溯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数值核验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网格、频点或阶数收敛；独立核验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AI辅助过程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提示、代码核验、错误修正和回代验证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结果与研讨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指标比较、误差解释、设计权衡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复现与报告</w:t>
            </w:r>
          </w:p>
        </w:tc>
        <w:tc>
          <w:tcPr>
            <w:tcW w:type="dxa" w:w="8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65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50" w:lineRule="auto"/>
            </w:pPr>
            <w:r>
              <w:rPr>
                <w:rFonts w:ascii="Calibri" w:hAnsi="Calibri" w:eastAsia="宋体"/>
                <w:b w:val="0"/>
                <w:color w:val="000000"/>
                <w:sz w:val="20"/>
              </w:rPr>
              <w:t>工程、原始数据、版本说明与引用完整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  <w:color w:val="000000"/>
          <w:sz w:val="22"/>
        </w:rPr>
        <w:t>教师审阅：□参数与几何无歧义  □本机菜单与模块可用  □基准工程已试运行  □验收阈值与难度适当  □AI任务可在规定课时完成。审阅日期：________；意见：________________________________。</w:t>
      </w:r>
    </w:p>
    <w:p>
      <w:r>
        <w:rPr>
          <w:rFonts w:ascii="Calibri" w:hAnsi="Calibri" w:eastAsia="宋体"/>
          <w:b w:val="0"/>
          <w:color w:val="000000"/>
          <w:sz w:val="22"/>
        </w:rPr>
        <w:t>[ADS01] Getting Started Chapter 1。版本：出版版权年2016（旧版教程；以本机ADS版本为准）。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[ADS02] Planar Electromagnetic Simulation in ADS Chapter 4。版本：出版版权年2016（旧版教程；以本机ADS版本为准）。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5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[ADS03] Microstrip and CPW Power Divider Design Chapter 8。版本：出版版权年2016（旧版教程；以本机ADS版本为准）。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7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[ADS04] Microwave Amplifier Design and Smith Chart Utility Chapter 9。版本：出版版权年2016（旧版教程；以本机ADS版本为准）。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19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[ADS05] Harmonic Balance Simulation Chapter 3。版本：出版版权年2016（旧版教程；以本机ADS版本为准）。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21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[ADS06] Microwave Discrete and Microstrip Filter Design Chapter 6。版本：出版版权年2016（旧版教程；以本机ADS版本为准）。</w:t>
      </w:r>
      <w:r>
        <w:rPr>
          <w:rFonts w:ascii="Calibri" w:hAnsi="Calibri" w:eastAsia="宋体"/>
          <w:b w:val="0"/>
          <w:color w:val="000000"/>
          <w:sz w:val="20"/>
        </w:rPr>
        <w:t xml:space="preserve">  </w:t>
      </w:r>
      <w:hyperlink r:id="rId23">
        <w:r>
          <w:rPr>
            <w:color w:val="24445F"/>
          </w:rPr>
          <w:t>官方来源</w:t>
        </w:r>
      </w:hyperlink>
    </w:p>
    <w:p>
      <w:r>
        <w:rPr>
          <w:rFonts w:ascii="Calibri" w:hAnsi="Calibri" w:eastAsia="宋体"/>
          <w:b w:val="0"/>
          <w:color w:val="000000"/>
          <w:sz w:val="22"/>
        </w:rPr>
        <w:t>资料定位：[ADS03]含Wilkinson等功分器；[ADS04]含演示FET偏置、稳定性和匹配；[ADS05]解释HB设置；[ADS06]覆盖理想与微带滤波器。本手册的2.45 GHz基准、S2P和限幅模型为课程自编。ADS07是Keysight语法补充索引，PDF未保存；原属Genesys，不作为ADS导入操作依据。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000000"/>
        <w:sz w:val="18"/>
      </w:rPr>
      <w:t xml:space="preserve">第 </w:t>
    </w:r>
    <w:r/>
    <w:fldSimple w:instr="PAGE"/>
    <w:r>
      <w:rPr>
        <w:rFonts w:ascii="Calibri" w:hAnsi="Calibri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宋体"/>
        <w:b w:val="0"/>
        <w:color w:val="000000"/>
        <w:sz w:val="17"/>
      </w:rPr>
      <w:t>人工智能辅助的射频电路及天线设计仿真  实验上机手册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3" Type="http://schemas.openxmlformats.org/officeDocument/2006/relationships/hyperlink" Target="https://www.keysight.com/us/en/assets/7018-05088/technical-overviews/5992-1309.pdf" TargetMode="External"/><Relationship Id="rId15" Type="http://schemas.openxmlformats.org/officeDocument/2006/relationships/hyperlink" Target="https://www.keysight.com/us/en/assets/7018-05192/technical-overviews/5992-1479.pdf" TargetMode="External"/><Relationship Id="rId17" Type="http://schemas.openxmlformats.org/officeDocument/2006/relationships/hyperlink" Target="https://www.keysight.com/us/en/assets/7018-05297/technical-overviews/5992-1632.pdf" TargetMode="External"/><Relationship Id="rId19" Type="http://schemas.openxmlformats.org/officeDocument/2006/relationships/hyperlink" Target="https://www.keysight.com/us/en/assets/7018-05300/technical-overviews/5992-1635.pdf" TargetMode="External"/><Relationship Id="rId21" Type="http://schemas.openxmlformats.org/officeDocument/2006/relationships/hyperlink" Target="https://www.keysight.com/us/en/assets/7018-05177/technical-overviews/5992-1453.pdf" TargetMode="External"/><Relationship Id="rId23" Type="http://schemas.openxmlformats.org/officeDocument/2006/relationships/hyperlink" Target="https://www.keysight.com/us/en/assets/7018-05293/technical-overviews/5992-16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 射频无源与有源电路</dc:title>
  <dc:subject>人工智能辅助的射频电路及天线设计仿真</dc:subject>
  <dc:creator>课程教学资料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