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настройке Custom Domain для Supabase</w:t>
      </w:r>
    </w:p>
    <w:p>
      <w:r>
        <w:rPr>
          <w:b/>
        </w:rPr>
        <w:t xml:space="preserve">Данная настройка необходима для восстановления стабильной работы CRM системы MagicMusic на территории РФ. </w:t>
      </w:r>
      <w:r>
        <w:t>Использование выделенного поддомена школы позволяет обойти региональные блокировки сетевых адресов и восстановить работу чатов (WebSockets).</w:t>
      </w:r>
    </w:p>
    <w:p>
      <w:pPr>
        <w:pStyle w:val="Heading1"/>
      </w:pPr>
      <w:r>
        <w:t>1. Задача</w:t>
      </w:r>
    </w:p>
    <w:p>
      <w:r>
        <w:t>Настроить поддомен (например, api.magic-music.org) так, чтобы он указывал на инфраструктуру Supabase. Это позволит приложению работать без VPN и сторонних утилит.</w:t>
      </w:r>
    </w:p>
    <w:p>
      <w:pPr>
        <w:pStyle w:val="Heading1"/>
      </w:pPr>
      <w:r>
        <w:t>2. Технические данные для настройки DNS</w:t>
      </w:r>
    </w:p>
    <w:p>
      <w:r>
        <w:t>Ниже приведены ПРИМЕРНЫЕ данные. Актуальные значения (токены верификации) будут предоставлены после активации функции на стороне Supabase.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Тип записи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Имя (Host)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 (Value)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CNAME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xbnywnlhfgofskbdxb.supabase.co</w:t>
            </w:r>
          </w:p>
        </w:tc>
        <w:tc>
          <w:tcPr>
            <w:tcW w:type="dxa" w:w="2160"/>
          </w:tcPr>
          <w:p>
            <w:r>
              <w:t>Основной шлюз API</w:t>
            </w:r>
          </w:p>
        </w:tc>
      </w:tr>
      <w:tr>
        <w:tc>
          <w:tcPr>
            <w:tcW w:type="dxa" w:w="2160"/>
          </w:tcPr>
          <w:p>
            <w:r>
              <w:t>TXT</w:t>
            </w:r>
          </w:p>
        </w:tc>
        <w:tc>
          <w:tcPr>
            <w:tcW w:type="dxa" w:w="2160"/>
          </w:tcPr>
          <w:p>
            <w:r>
              <w:t>_supabase.api</w:t>
            </w:r>
          </w:p>
        </w:tc>
        <w:tc>
          <w:tcPr>
            <w:tcW w:type="dxa" w:w="2160"/>
          </w:tcPr>
          <w:p>
            <w:r>
              <w:t>supabase-verification=example-token-123</w:t>
            </w:r>
          </w:p>
        </w:tc>
        <w:tc>
          <w:tcPr>
            <w:tcW w:type="dxa" w:w="2160"/>
          </w:tcPr>
          <w:p>
            <w:r>
              <w:t>Верификация владения</w:t>
            </w:r>
          </w:p>
        </w:tc>
      </w:tr>
    </w:tbl>
    <w:p>
      <w:pPr>
        <w:pStyle w:val="Heading1"/>
      </w:pPr>
      <w:r>
        <w:t>3. Важное примечание (Cloudflare)</w:t>
      </w:r>
    </w:p>
    <w:p>
      <w:r>
        <w:rPr>
          <w:b/>
        </w:rPr>
        <w:t>Если домен magic-music.org обслуживается через Cloudflare, для данных записей необходимо выключить проксирование (режим "DNS Only", серое облако).</w:t>
      </w:r>
    </w:p>
    <w:p>
      <w:pPr>
        <w:pStyle w:val="Heading1"/>
      </w:pPr>
      <w:r>
        <w:t>4. Порядок действий</w:t>
      </w:r>
    </w:p>
    <w:p>
      <w:pPr>
        <w:pStyle w:val="ListBullet"/>
      </w:pPr>
      <w:r>
        <w:t>Администратор подтверждает возможность создания поддомена.</w:t>
      </w:r>
    </w:p>
    <w:p>
      <w:pPr>
        <w:pStyle w:val="ListBullet"/>
      </w:pPr>
      <w:r>
        <w:t>Разработчик активирует функцию Custom Domain в Supabase.</w:t>
      </w:r>
    </w:p>
    <w:p>
      <w:pPr>
        <w:pStyle w:val="ListBullet"/>
      </w:pPr>
      <w:r>
        <w:t>Разработчик передает актуальные CNAME и TXT токены.</w:t>
      </w:r>
    </w:p>
    <w:p>
      <w:pPr>
        <w:pStyle w:val="ListBullet"/>
      </w:pPr>
      <w:r>
        <w:t>Администратор вносит записи в DNS.</w:t>
      </w:r>
    </w:p>
    <w:p>
      <w:pPr>
        <w:pStyle w:val="ListBullet"/>
      </w:pPr>
      <w:r>
        <w:t>После верификации (от 15 мин до 2 часов) система начинает работать.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