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P8 6 DeepSeek基线测试工作记录</w:t>
      </w:r>
    </w:p>
    <w:p>
      <w:pPr>
        <w:pStyle w:val="Subtitle"/>
      </w:pPr>
      <w:r>
        <w:t>Garin-cyber  |  2026年10月31日  |  交接给AI及项目成员</w:t>
      </w:r>
    </w:p>
    <w:p>
      <w:r>
        <w:t>本轮在隔离副本中测试现有AI代码与DeepSeek，Jev未启用。已执行719题次，654通过、65失败；最后1题次在发出请求前被5元预算保护拦截。以下成绩属于本地AI流程的严格自动判定，人工标注复核仍待完成。</w:t>
      </w:r>
    </w:p>
    <w:p>
      <w:pPr>
        <w:pStyle w:val="Heading1"/>
      </w:pPr>
      <w:r>
        <w:t>本轮主要数据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本轮结果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目标源码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733d339  自主循环  single-object-1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输入规模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120条单轮加20个六轮场景  共240个输入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执行与自动通过率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719题次  654除以719等于90.96%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实际API请求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正式766次  含小批量共773次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每题平均API次数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1.065次  包含合法零调用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每题平均耗时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1.279秒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每题P50及P95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1.224秒  2.394秒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每题最长耗时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4.177秒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单次API平均耗时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1.041秒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每题平均费用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0.00103989元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单次API平均费用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0.00097609元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正式批次用量估算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0.74768412元  非平台账单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本轮保守费用</w:t>
            </w:r>
          </w:p>
        </w:tc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4.957662元  含小批量  上限5元</w:t>
            </w:r>
          </w:p>
        </w:tc>
      </w:tr>
    </w:tbl>
    <w:p>
      <w:pPr>
        <w:spacing w:after="20"/>
      </w:pPr>
    </w:p>
    <w:p>
      <w:r>
        <w:t>每题耗时包含本地处理、实际模型请求和记录开销，不含App网络与业务数据库。单次API耗时从实际HTTP发出计到完整响应读完；本次非流式调用，不报告首字耗时。</w:t>
      </w:r>
    </w:p>
    <w:p>
      <w:r>
        <w:t>费用按真实Token、缓存和执行时段价格估算。预算采用峰值未缓存价格保守记账，最后一次最坏预留会越界，因此停止；没有清零旧账本或绕过额度。</w:t>
      </w:r>
    </w:p>
    <w:p>
      <w:r>
        <w:br w:type="page"/>
      </w:r>
    </w:p>
    <w:p>
      <w:pPr>
        <w:pStyle w:val="Heading1"/>
      </w:pPr>
      <w:r>
        <w:t>失败集中在哪些功能</w:t>
      </w:r>
    </w:p>
    <w:p>
      <w:r>
        <w:t>共65次自动失败，覆盖14类功能。下表按题次计数，同一输入重复失败不应登记成多个独立缺陷；完整预期、实际回复和证据位置已逐条保留。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984"/>
        <w:gridCol w:w="1984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执行题次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失败题次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按件新增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整件消耗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整件丢弃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风险依据不足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规划资料缺失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半件拒绝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无规格不猜容量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非整数件数拒绝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多件选择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明确序号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引用过期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日常交流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移动多轮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180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开封多轮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179</w:t>
            </w:r>
          </w:p>
        </w:tc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</w:tr>
    </w:tbl>
    <w:p>
      <w:pPr>
        <w:spacing w:after="20"/>
      </w:pPr>
    </w:p>
    <w:p>
      <w:pPr>
        <w:pStyle w:val="Heading2"/>
      </w:pPr>
      <w:r>
        <w:t>优先交给AI负责人的问题</w:t>
      </w:r>
    </w:p>
    <w:p>
      <w:r>
        <w:t>第一，用户明确说“还没选哪一件”时仍生成移动草稿，以及过期指代继续查询，需优先核对对象选择和引用有效性。草稿未自动写入，不能把这点当作选择正确。</w:t>
      </w:r>
    </w:p>
    <w:p>
      <w:r>
        <w:t>第二，唯一对象的整件消耗和整件丢弃共有18次失败，出现继续追问数量、比例或拒绝的情况。请对照模型计划的amount_mode、字段落地和逐件规则定位，当前不直接归责单一组件。</w:t>
      </w:r>
    </w:p>
    <w:p>
      <w:r>
        <w:t>第三，部分多轮查询已经返回事实，却因重复计划而停在stopped；部分错误码与预期不同。这些严格FAIL继续保留，需分别讨论终止状态、错误码契约与事实正确性。</w:t>
      </w:r>
    </w:p>
    <w:p>
      <w:r>
        <w:t>规划资料缺失使用故意不可用的合成接口，验证降级状态，不代表正式服务器一定未实现。未发现已确认的样本标注错误；有争议的状态与错误码交由团队复核，未擅自改成PASS。</w:t>
      </w:r>
    </w:p>
    <w:p>
      <w:r>
        <w:br w:type="page"/>
      </w:r>
    </w:p>
    <w:p>
      <w:pPr>
        <w:pStyle w:val="Heading1"/>
      </w:pPr>
      <w:r>
        <w:t>调用次数与极端值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每题实际API次数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9"/>
              </w:rPr>
              <w:t>题次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0次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105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1次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463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2次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3次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</w:tbl>
    <w:p>
      <w:pPr>
        <w:spacing w:after="20"/>
      </w:pPr>
    </w:p>
    <w:p>
      <w:r>
        <w:t>已证实当前链路可以零次、一次、两次或三次调用。两次不一定是在判断上次回答是否正确：136题属于核对后再单独finish，11题追加读取后再决策，3题携带校验反馈再决策。单凭次数不能说明每一步作用相同。</w:t>
      </w:r>
    </w:p>
    <w:p>
      <w:pPr>
        <w:pStyle w:val="Heading2"/>
      </w:pPr>
      <w:r>
        <w:t>最慢且调用最多的题</w:t>
      </w:r>
    </w:p>
    <w:p>
      <w:r>
        <w:t>r1-p86-q22-2：“把牛奶开封并移到厨房”。整题4.177秒、3次API、费用0.002577元，自动PASS表示正确触发边界保护，并不表示已执行两个动作。网络请求累计3.697秒，占整题88.5%；日志出现UNGROUNDED_FIELD和MULTIPLE_WRITES，后续请求携带前轮错误反馈。</w:t>
      </w:r>
    </w:p>
    <w:p>
      <w:pPr>
        <w:pStyle w:val="Heading2"/>
      </w:pPr>
      <w:r>
        <w:t>最贵的题</w:t>
      </w:r>
    </w:p>
    <w:p>
      <w:r>
        <w:t>r1-p86-m09-2-t6：“重新核对这件牛奶现在的数量和位置”。整题2.375秒、2次API、费用0.00306964元，自动FAIL，停止原因为repeated_plan。两次输入合计7981 Token，缓存命中70.6%；长上下文和重复决策增加了费用。</w:t>
      </w:r>
    </w:p>
    <w:p>
      <w:pPr>
        <w:pStyle w:val="Heading2"/>
      </w:pPr>
      <w:r>
        <w:t>如何理解短路径与波动</w:t>
      </w:r>
    </w:p>
    <w:p>
      <w:r>
        <w:t>最短路径为r1-p86-q21-4，耗时0.000923秒，实际API为0次。这反映本地规则路径，不能用来说明DeepSeek推理只需这一时间。Top5全部保留，并用Q3加1.5倍IQR标注高值；高值排名不一定都是统计异常。</w:t>
      </w:r>
    </w:p>
    <w:p>
      <w:r>
        <w:t>239个输入完成三遍，其中199个三遍均通过，176个业务结果一致。最后一个输入只有两遍，均值按两遍计算。完整六轮场景执行59次，47次六轮全部通过，另1次场景因预算未完成。</w:t>
      </w:r>
    </w:p>
    <w:p>
      <w:r>
        <w:t>按34个表达或场景族整体重采样的描述性95%区间为84.81%至95.52%。重复运行不算新增独立样本，合成集结果不能当成真实用户总体正确率。客户端日志也不能确认供应商排队、推理和公网延迟各占多少。</w:t>
      </w:r>
    </w:p>
    <w:p>
      <w:r>
        <w:br w:type="page"/>
      </w:r>
    </w:p>
    <w:p>
      <w:pPr>
        <w:pStyle w:val="Heading1"/>
      </w:pPr>
      <w:r>
        <w:t>交付文件与接续工作</w:t>
      </w:r>
    </w:p>
    <w:p>
      <w:r>
        <w:t>全部本轮脚本、冻结用例、原始证据和报告存于 tests/8.6基线测试/P8.6_DeepSeek基线_20261031_733d339。给队友先阅读的副本存于 tests/交接文件夹/2026-10-31_P8.6基线测试。</w:t>
      </w:r>
    </w:p>
    <w:p>
      <w:pPr>
        <w:pStyle w:val="Heading2"/>
      </w:pPr>
      <w:r>
        <w:t>建议阅读顺序</w:t>
      </w:r>
    </w:p>
    <w:p>
      <w:pPr>
        <w:pStyle w:val="ListNumber"/>
      </w:pPr>
      <w:r>
        <w:t>先打开Excel总览，再看每题均值。每题有独立编号，包含遍数、最短和最长耗时、费用、调用次数。</w:t>
      </w:r>
    </w:p>
    <w:p>
      <w:pPr>
        <w:pStyle w:val="ListNumber"/>
      </w:pPr>
      <w:r>
        <w:t>遇到问题查逐题记录、API明细与极端值页；JSONL保留全部实际结果，原始runs目录保留请求、响应、上下文、trace及状态。</w:t>
      </w:r>
    </w:p>
    <w:p>
      <w:pPr>
        <w:pStyle w:val="ListNumber"/>
      </w:pPr>
      <w:r>
        <w:t>失败交接清单逐项列出预期、实际回复、失败断言与证据文件行号；分类是定位线索，未确认的根因继续待复核。</w:t>
      </w:r>
    </w:p>
    <w:p>
      <w:pPr>
        <w:pStyle w:val="Heading2"/>
      </w:pPr>
      <w:r>
        <w:t>本轮已完成的保护与检查</w:t>
      </w:r>
    </w:p>
    <w:p>
      <w:r>
        <w:t>在源码副本与虚拟家庭库存中执行，每遍重建相同状态；未连接业务服务或真实用户数据库。2379份受保护原文件及314份副本哈希无变化。计量和源码测试最终55项通过，初始工具错误与修复记录保留。所有已执行题的库存和采购事实未被写入。</w:t>
      </w:r>
    </w:p>
    <w:p>
      <w:r>
        <w:t>密钥保存在仓库外，公开附件不含鉴权头。实际请求只允许访问DeepSeek。源码、依赖、提示词、配置和冻结数据哈希可复核；测试结果没有通过改预期“修好”。</w:t>
      </w:r>
    </w:p>
    <w:p>
      <w:pPr>
        <w:pStyle w:val="Heading2"/>
      </w:pPr>
      <w:r>
        <w:t>下一步由团队接续</w:t>
      </w:r>
    </w:p>
    <w:p>
      <w:pPr>
        <w:pStyle w:val="ListNumber"/>
      </w:pPr>
      <w:r>
        <w:t>AI负责人先处理对象选择、引用有效性、整件操作，再统一循环结束状态与缺数据错误码。Garin随后按同编号复测，保留原失败。</w:t>
      </w:r>
    </w:p>
    <w:p>
      <w:pPr>
        <w:pStyle w:val="ListNumber"/>
      </w:pPr>
      <w:r>
        <w:t>人工复核用例标注及回复可读性；未签字内容继续保持pending。本轮不登记为App、后端或真实数据库联合验收通过。</w:t>
      </w:r>
    </w:p>
    <w:p>
      <w:pPr>
        <w:pStyle w:val="ListNumber"/>
      </w:pPr>
      <w:r>
        <w:t>接入Jev后冻结同样数据和评分，分别统计DeepSeek、Jev及合计费用；尽量同期重跑DeepSeek对照，记录模型别名、网络、缓存和价格变化。</w:t>
      </w:r>
    </w:p>
    <w:p>
      <w:pPr>
        <w:pStyle w:val="ListNumber"/>
      </w:pPr>
      <w:r>
        <w:t>若用本轮数据调优，另备未见评估集。新的付费运行另立批次和预算，不能覆盖本轮证据。</w:t>
      </w:r>
    </w:p>
    <w:p>
      <w:r>
        <w:t>价格依据：DeepSeek官方定价页，2026年10月31日复核。https://api-docs.deepseek.com/zh-cn/quick_start/pricing/。本轮实际返回模型别名记录于API明细；别名不等于不可变的模型版本。</w:t>
      </w:r>
    </w:p>
    <w:p>
      <w:r>
        <w:t>人工复核状态：待团队确认。此记录不代替Garin本人或其他成员签字。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P8 6 DeepSeek基线测试工作记录</dc:title>
  <dc:subject>真实模型基线与失败证据交接</dc:subject>
  <dc:creator>Garin-cyber</dc:creator>
  <cp:keywords/>
  <dc:description>人工复核未签字。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