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V1 P3 测试执行与验收说明</w:t>
      </w:r>
    </w:p>
    <w:p>
      <w:pPr>
        <w:pStyle w:val="Subtitle"/>
      </w:pPr>
      <w:r>
        <w:t>测试数据 用例步骤 预期结果与缺陷记录</w:t>
      </w:r>
    </w:p>
    <w:p>
      <w:r>
        <w:rPr>
          <w:rFonts w:ascii="Calibri" w:hAnsi="Calibri" w:eastAsia="Microsoft YaHei"/>
          <w:b w:val="0"/>
          <w:color w:val="000000"/>
          <w:sz w:val="18"/>
        </w:rPr>
        <w:t>编写日期  2026年10月15日    阅读对象  测试同学与联合验收负责人</w:t>
      </w:r>
    </w:p>
    <w:p>
      <w:r>
        <w:rPr>
          <w:rFonts w:ascii="Calibri" w:hAnsi="Calibri" w:eastAsia="Microsoft YaHei"/>
          <w:b w:val="0"/>
          <w:color w:val="000000"/>
          <w:sz w:val="18"/>
        </w:rPr>
        <w:t>记录基线  AI 0.4.0   策略 p3-policy-1   提取提示 p3-extract-2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本文件交接P3消费、预测、补货及续接测试。开发侧264项回归通过；测试同学仍须独立复核，并在后端就绪后完成真实授权、确认及数据库审计。本文用例均待执行，开发自测不等于测试同学已验收。</w:t>
      </w:r>
    </w:p>
    <w:p>
      <w:pPr>
        <w:pStyle w:val="Heading1"/>
      </w:pPr>
      <w:r>
        <w:t>1 测试分层与当前阻塞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20"/>
        <w:gridCol w:w="4320"/>
      </w:tblGrid>
      <w:tr>
        <w:trPr>
          <w:cantSplit/>
          <w:tblHeader/>
        </w:trPr>
        <w:tc>
          <w:tcPr>
            <w:tcW w:type="dxa" w:w="1440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4320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现在可以做什么</w:t>
            </w:r>
          </w:p>
        </w:tc>
        <w:tc>
          <w:tcPr>
            <w:tcW w:type="dxa" w:w="4320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未满足条件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AI专项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本地运行已有测试和构造夹具，核对统计、预测、草稿及协议。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不需要运行假库存服务；测试数据不得用于真实效果结论。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后端联调</w:t>
            </w:r>
          </w:p>
        </w:tc>
        <w:tc>
          <w:tcPr>
            <w:tcW w:type="dxa" w:w="43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准备测试家庭、事件、偏好、待购和作用域矩阵。</w:t>
            </w:r>
          </w:p>
        </w:tc>
        <w:tc>
          <w:tcPr>
            <w:tcW w:type="dxa" w:w="43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规划GET、item_key续接、error恢复与依据持久化需后端提供。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页面与确认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准备现有对话、详情及确认表单检查。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正式代理、部署及后端确认事务完成后执行。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真实效果</w:t>
            </w:r>
          </w:p>
        </w:tc>
        <w:tc>
          <w:tcPr>
            <w:tcW w:type="dxa" w:w="43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设计时间顺序采集和人工复核记录。</w:t>
            </w:r>
          </w:p>
        </w:tc>
        <w:tc>
          <w:tcPr>
            <w:tcW w:type="dxa" w:w="43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尚无真实区间；不能宣称耗尽预测准确。</w:t>
            </w:r>
          </w:p>
        </w:tc>
      </w:tr>
    </w:tbl>
    <w:p>
      <w:pPr>
        <w:spacing w:after="2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1"/>
      </w:pPr>
      <w:r>
        <w:t>2 统一构造数据基线</w:t>
      </w:r>
    </w:p>
    <w:p>
      <w:r>
        <w:rPr>
          <w:rFonts w:ascii="Calibri" w:hAnsi="Calibri" w:eastAsia="Microsoft YaHei"/>
          <w:b w:val="0"/>
          <w:color w:val="000000"/>
          <w:sz w:val="22"/>
        </w:rPr>
        <w:t>固定评估时点2026-10-15 10:00 Asia/Shanghai。窗口为2026-09-17至2026-10-15，不含结束日；28日均完整、无断货或未解释调整，并有业务完整性来源。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家庭H1用户U1有权限；H2用户U2用于越权。商品milk为牛奶、单位盒，活动批次b1数量2、版本4，商品版本2。过去7个不同完整日各1条已提交Consumed、每条1盒，总7盒。没有冲突或额外更正。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最低库存3盒、覆盖14日、提前2日、偏好版本1；共享清单有已确认未购1盒、版本3。快照snapshot-1、事件水位w7，as_of为可信当前时间。风险所需字段齐全且未触发需核对条件，usable_quantity_verified=true。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期望：消费7盒、日均0.25盒、库存2盒、剩余8天、日期2026-10-23；目标4盒、待购1盒、新建议1盒。隔离家庭重建同等数据；as_of按实际调用刷新，不能使用旧固定时间。</w:t>
      </w:r>
    </w:p>
    <w:p>
      <w:r>
        <w:rPr>
          <w:rFonts w:ascii="Calibri" w:hAnsi="Calibri" w:eastAsia="Microsoft YaHei"/>
          <w:b w:val="0"/>
          <w:color w:val="000000"/>
          <w:sz w:val="18"/>
        </w:rPr>
        <w:t>H1与U1等为用例代号，联调替换后端UUID。P0表示阻塞发布的优先级；仅在测试环境造数，不通过AI改库存。</w:t>
      </w:r>
    </w:p>
    <w:p>
      <w:pPr>
        <w:pStyle w:val="Heading1"/>
        <w:pageBreakBefore/>
      </w:pPr>
      <w:r>
        <w:t>3 基本功能与页面可读性</w:t>
      </w:r>
    </w:p>
    <w:p>
      <w:pPr>
        <w:pStyle w:val="Heading2"/>
        <w:spacing w:before="160" w:after="100"/>
      </w:pPr>
      <w:r>
        <w:t>T01 消费统计与账本一致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准备与操作：使用统一基线。 发送“牛奶消耗统计”并调用结构化统计接口。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预期：answered；effective_quantity=7、effective_events=7、日期数7、观察日28；日期右端不包含。</w:t>
      </w:r>
    </w:p>
    <w:p>
      <w:pPr>
        <w:pStyle w:val="Heading2"/>
        <w:spacing w:before="160" w:after="100"/>
      </w:pPr>
      <w:r>
        <w:t>T02 条件耗尽结果正确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准备与操作：使用统一基线。 发送“牛奶还能用多久”。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预期：forecast数组内目标项status=estimated；库存2、日均0.25、天数8、日期2026-10-23；显示不补货及速率相近条件。</w:t>
      </w:r>
    </w:p>
    <w:p>
      <w:pPr>
        <w:pStyle w:val="Heading2"/>
        <w:spacing w:before="160" w:after="100"/>
      </w:pPr>
      <w:r>
        <w:t>T03 补货建议与单项草稿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准备与操作：使用统一基线。 先问“牛奶补货建议”，再独立请求“给牛奶生成补货草稿”。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预期：查询answered、新增1盒；草稿needs_confirmation，只含一个PLAN_ADD，basis完整且尚未写入。</w:t>
      </w:r>
    </w:p>
    <w:p>
      <w:pPr>
        <w:pStyle w:val="Heading2"/>
        <w:spacing w:before="160" w:after="100"/>
      </w:pPr>
      <w:r>
        <w:t>T04 结构化接口无需模型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P1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准备与操作：记录模型调用计数和工具读取。 分别调用/consumption/query、/forecast/evaluate、/procurement/suggest。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预期：模型调用数不增加；工具正常读取；非采购接口使用mode=draft时拒绝，不产生草稿。</w:t>
      </w:r>
    </w:p>
    <w:p>
      <w:pPr>
        <w:pStyle w:val="Heading2"/>
        <w:spacing w:before="160" w:after="100"/>
      </w:pPr>
      <w:r>
        <w:t>T05 现有页面对应字段完整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P1   阶段 页面联调待就绪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准备与操作：后端及页面代理就绪。 查看对话、详情、补货建议与确认表单，编辑草稿数量。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预期：单位、当前量、未购、依据、时间及状态可读；人工修改标明来源并保留原建议；确认前无写入。</w:t>
      </w:r>
    </w:p>
    <w:p>
      <w:pPr>
        <w:pStyle w:val="Heading1"/>
        <w:pageBreakBefore/>
      </w:pPr>
      <w:r>
        <w:t>4 消费事件与时间口径</w:t>
      </w:r>
    </w:p>
    <w:p>
      <w:pPr>
        <w:pStyle w:val="Heading2"/>
        <w:spacing w:before="160" w:after="100"/>
      </w:pPr>
      <w:r>
        <w:t>T06 去重与Finished防双计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准备与操作：基线复制一条相同ID内容消费并加入Finished。 查询统计。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预期：仍为7盒及7有效事件；同ID但数量不同的另一变体应needs_review。</w:t>
      </w:r>
    </w:p>
    <w:p>
      <w:pPr>
        <w:pStyle w:val="Heading2"/>
        <w:spacing w:before="160" w:after="100"/>
      </w:pPr>
      <w:r>
        <w:t>T07 排除非消费和未提交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准备与操作：分别加入Discarded、Added、Opened、Moved、Purchased、Draft、Adjusted，以及committed=false的Consumed。 逐个查询。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预期：各变体仍7盒；不得把丢弃混入消费统计。</w:t>
      </w:r>
    </w:p>
    <w:p>
      <w:pPr>
        <w:pStyle w:val="Heading2"/>
        <w:spacing w:before="160" w:after="100"/>
      </w:pPr>
      <w:r>
        <w:t>T08 部分与全部撤销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准备与操作：关联一条原1盒消费，recorded_at晚于目标。 分别用Reversed数量0.4和0。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预期：总量分别6.6和6盒；0表示抵销当前有效余量。超量撤销返回needs_review。</w:t>
      </w:r>
    </w:p>
    <w:p>
      <w:pPr>
        <w:pStyle w:val="Heading2"/>
        <w:spacing w:before="160" w:after="100"/>
      </w:pPr>
      <w:r>
        <w:t>T09 更正使用总量口径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准备与操作：对同一原消费增加Corrected。 分别把更正总量设为0.5和2盒。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预期：总量分别6.5和8盒，不把更正量当差额；悬空ID、关联撤销或同刻关系要求核对。</w:t>
      </w:r>
    </w:p>
    <w:p>
      <w:pPr>
        <w:pStyle w:val="Heading2"/>
        <w:spacing w:before="160" w:after="100"/>
      </w:pPr>
      <w:r>
        <w:t>T10 迟录和未来信息隔离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准备与操作：加入发生在过去但recorded_at在截点之后的消费和撤销。 先在旧截点查询，再推进知晓时间查询。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预期：旧截点仍7盒；后续才反映记录。未来occurred_at、商品不一致、单位冲突为needs_review。</w:t>
      </w:r>
    </w:p>
    <w:p>
      <w:pPr>
        <w:pStyle w:val="Heading1"/>
        <w:pageBreakBefore/>
      </w:pPr>
      <w:r>
        <w:t>5 预测窗口与降级边界</w:t>
      </w:r>
    </w:p>
    <w:p>
      <w:pPr>
        <w:pStyle w:val="Heading2"/>
        <w:spacing w:before="160" w:after="100"/>
      </w:pPr>
      <w:r>
        <w:t>T11 完整日与时区边界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准备与操作：加入当前家庭自然日尚未结束的消费。 分别使用Asia/Shanghai和America/Los_Angeles核对日期边界。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预期：速率分母排除当前日，统计按对应本地日期；同一UTC时点跨日不得错计。</w:t>
      </w:r>
    </w:p>
    <w:p>
      <w:pPr>
        <w:pStyle w:val="Heading2"/>
        <w:spacing w:before="160" w:after="100"/>
      </w:pPr>
      <w:r>
        <w:t>T12 观察日与事件数门槛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P1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准备与操作：分别准备13日、14日、4条事件、5条事件和仅2个消费日期的完整记录。 逐个评估。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预期：日数不足或事件/日期不足不输出未来日期；达到全部门槛的正消费才可estimated。</w:t>
      </w:r>
    </w:p>
    <w:p>
      <w:pPr>
        <w:pStyle w:val="Heading2"/>
        <w:spacing w:before="160" w:after="100"/>
      </w:pPr>
      <w:r>
        <w:t>T13 缺口和断货中断窗口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准备与操作：在最近第5日标断货或未解释调整，再在更早第21日标断货。 分别评估。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预期：前者只余4日并needs_review；后者若最近20日有效且满足事件门槛仍可估计，不把缺日补零。</w:t>
      </w:r>
    </w:p>
    <w:p>
      <w:pPr>
        <w:pStyle w:val="Heading2"/>
        <w:spacing w:before="160" w:after="100"/>
      </w:pPr>
      <w:r>
        <w:t>T14 空记录与完整性未知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P1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准备与操作：保持28完整日无事件，另做完整性来源为空的变体。 评估正库存商品。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预期：前者no_recorded_consumption，无无限天/日期；后者insufficient_data，不推断没有实际消耗。</w:t>
      </w:r>
    </w:p>
    <w:p>
      <w:pPr>
        <w:pStyle w:val="Heading2"/>
        <w:spacing w:before="160" w:after="100"/>
      </w:pPr>
      <w:r>
        <w:t>T15 零库存与精确日期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准备与操作：无冲突时库存设0；另设21日消费7盒、库存1盒。 分别评估。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预期：前者current_zero、无未来日期；后者剩余3天，不因循环小数舍入多算一天。</w:t>
      </w:r>
    </w:p>
    <w:p>
      <w:pPr>
        <w:pStyle w:val="Heading1"/>
        <w:pageBreakBefore/>
      </w:pPr>
      <w:r>
        <w:t>6 商品 单位与补货数量</w:t>
      </w:r>
    </w:p>
    <w:p>
      <w:pPr>
        <w:pStyle w:val="Heading2"/>
        <w:spacing w:before="160" w:after="100"/>
      </w:pPr>
      <w:r>
        <w:t>T16 同商品多批次与单位换算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准备与操作：同item_key两批分别2000ml与1000ml，规范单位L；消费总7L、28日。 查询预测。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预期：总库存3L、日均0.25L、剩余12日；不得按批重复生成采购需求。</w:t>
      </w:r>
    </w:p>
    <w:p>
      <w:pPr>
        <w:pStyle w:val="Heading2"/>
        <w:spacing w:before="160" w:after="100"/>
      </w:pPr>
      <w:r>
        <w:t>T17 同名商品选择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准备与操作：准备同名牛奶的两个不同item_key和不同批次。 问“牛奶还能用多久”，然后选其中一个item_key。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预期：先needs_clarification，返回完整候选；不选第一项。续接只评估所选商品，不再调用模型。</w:t>
      </w:r>
    </w:p>
    <w:p>
      <w:pPr>
        <w:pStyle w:val="Heading2"/>
        <w:spacing w:before="160" w:after="100"/>
      </w:pPr>
      <w:r>
        <w:t>T18 包装单位不猜测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准备与操作：将消费或待购单位改为瓶，商品单位仍盒且无容量映射。 分别查询统计和补货。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预期：对应统计/预测或补货needs_review；不能假设一瓶等于一盒。明确order_unit和pack_size后才允许包装取整。</w:t>
      </w:r>
    </w:p>
    <w:p>
      <w:pPr>
        <w:pStyle w:val="Heading2"/>
        <w:spacing w:before="160" w:after="100"/>
      </w:pPr>
      <w:r>
        <w:t>T19 历史不足的阈值退路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P1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准备与操作：删除历史，保留可信最低量3、库存2，先移除待购再恢复1盒待购。 查询补货。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预期：均source=minimum_stock；无待购建议1盒，有1盒待购则covered无草稿。缺最低量及合格历史偏好则insufficient_data。</w:t>
      </w:r>
    </w:p>
    <w:p>
      <w:pPr>
        <w:pStyle w:val="Heading2"/>
        <w:spacing w:before="160" w:after="100"/>
      </w:pPr>
      <w:r>
        <w:t>T20 历史目标与偏好精度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准备与操作：基线目标4盒；另去掉lead_days或coverage_days，再设不能满足六位精度的最低量。 请求补货草稿。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预期：缺历史偏好退最低量；超六位或数量超10亿需要核对，不截断、不生成无效Command。</w:t>
      </w:r>
    </w:p>
    <w:p>
      <w:pPr>
        <w:pStyle w:val="Heading1"/>
        <w:pageBreakBefore/>
      </w:pPr>
      <w:r>
        <w:t>7 待购 风险与只读边界</w:t>
      </w:r>
    </w:p>
    <w:p>
      <w:pPr>
        <w:pStyle w:val="Heading2"/>
        <w:spacing w:before="160" w:after="100"/>
      </w:pPr>
      <w:r>
        <w:t>T21 已有待购防重复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准备与操作：基线共享未购改为4盒。 查询并请求草稿。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预期：covered，不产生重复PLAN_ADD；待购不加到预测库存，剩余天数仍按2盒计算。</w:t>
      </w:r>
    </w:p>
    <w:p>
      <w:pPr>
        <w:pStyle w:val="Heading2"/>
        <w:spacing w:before="160" w:after="100"/>
      </w:pPr>
      <w:r>
        <w:t>T22 已购及草稿不重复扣减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准备与操作：分别把1盒待购标purchased、draft或confirmed=false。 查询补货。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预期：这些条目不扣减；基线其他事实不变时新建议2盒。相同ID相同内容去重，冲突needs_review。</w:t>
      </w:r>
    </w:p>
    <w:p>
      <w:pPr>
        <w:pStyle w:val="Heading2"/>
        <w:spacing w:before="160" w:after="100"/>
      </w:pPr>
      <w:r>
        <w:t>T23 待购缺失不是零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准备与操作：pending_complete=false，另做读取失败与商品对应未知。 请求补货。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预期：需要核对或明确错误，无新草稿；不将未知待购量当零，不读取他人私有草稿。</w:t>
      </w:r>
    </w:p>
    <w:p>
      <w:pPr>
        <w:pStyle w:val="Heading2"/>
        <w:spacing w:before="160" w:after="100"/>
      </w:pPr>
      <w:r>
        <w:t>T24 风险及药品范围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准备与操作：将活动批次风险设red/orange/unknown，或usable_quantity_verified=false；另设medicine类别。 请求补货。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预期：风险变体needs_review，不扣库存放大采购；药品对应recommendations项status=excluded，无采购草稿。</w:t>
      </w:r>
    </w:p>
    <w:p>
      <w:pPr>
        <w:pStyle w:val="Heading2"/>
        <w:spacing w:before="160" w:after="100"/>
      </w:pPr>
      <w:r>
        <w:t>T25 AI不写库存与清单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真实后端审计待就绪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准备与操作：保存测试家庭库存、共享清单、消费账本的前置快照和写审计。 执行所有查询、建议、草稿、续接及失败路径，不显式确认。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预期：库存、共享清单及消费事实不变；任务/草稿存储允许由后端发生，不能误判为业务库存写。</w:t>
      </w:r>
    </w:p>
    <w:p>
      <w:pPr>
        <w:pStyle w:val="Heading1"/>
        <w:pageBreakBefore/>
      </w:pPr>
      <w:r>
        <w:t>8 续接 安全与一致性</w:t>
      </w:r>
    </w:p>
    <w:p>
      <w:pPr>
        <w:pStyle w:val="Heading2"/>
        <w:spacing w:before="160" w:after="100"/>
      </w:pPr>
      <w:r>
        <w:t>T26 指代与缺名称续接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P1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准备与操作：发送“这个还能用多久”。 随后只补name=牛奶。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预期：先缺name，不扩展全家庭；续接保留原文并读取新事实，无模型调用。</w:t>
      </w:r>
    </w:p>
    <w:p>
      <w:pPr>
        <w:pStyle w:val="Heading2"/>
        <w:spacing w:before="160" w:after="100"/>
      </w:pPr>
      <w:r>
        <w:t>T27 只接受当前允许答案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准备与操作：准备商品选择或补名称上下文。 提交非候选item_key、额外quantity、action、scope或版本字段。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预期：按层次422或INVALID_CLARIFICATION；不更改动作、身份、事实或库存版本，不产生草稿。</w:t>
      </w:r>
    </w:p>
    <w:p>
      <w:pPr>
        <w:pStyle w:val="Heading2"/>
        <w:spacing w:before="160" w:after="100"/>
      </w:pPr>
      <w:r>
        <w:t>T28 修订与有效期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准备与操作：准备有效上下文。 分别提交旧revision、已过15分钟、created_at在未来或其他用户/家庭的请求。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预期：冲突或过期拒绝；跨身份不返回原文、候选或私有上下文；后端原子防并发重放。</w:t>
      </w:r>
    </w:p>
    <w:p>
      <w:pPr>
        <w:pStyle w:val="Heading2"/>
        <w:spacing w:before="160" w:after="100"/>
      </w:pPr>
      <w:r>
        <w:t>T29 快照与事实变化重核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准备与操作：首次候选后更新snapshot_id或所选商品/批次版本和数量。 续接选择。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预期：返回needs_clarification及增加revision的新候选，要求再核对，不按旧事实生成草稿。</w:t>
      </w:r>
    </w:p>
    <w:p>
      <w:pPr>
        <w:pStyle w:val="Heading2"/>
        <w:spacing w:before="160" w:after="100"/>
      </w:pPr>
      <w:r>
        <w:t>T30 失败后的空答案恢复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准备与操作：选择商品时让工具失败。 恢复工具后使用保存的最新error上下文，allowed_fields=[]、answers={}续接。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预期：原文、已填name、selected_item_key保留；不重新提取。尝试在恢复时改name被拒绝。</w:t>
      </w:r>
    </w:p>
    <w:p>
      <w:pPr>
        <w:pStyle w:val="Heading1"/>
        <w:pageBreakBefore/>
      </w:pPr>
      <w:r>
        <w:t>9 异常 超时 回归与确认</w:t>
      </w:r>
    </w:p>
    <w:p>
      <w:pPr>
        <w:pStyle w:val="Heading2"/>
        <w:spacing w:before="160" w:after="100"/>
      </w:pPr>
      <w:r>
        <w:t>T31 契约与新鲜度失败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准备与操作：分别设置items_complete=false、非空next_cursor、重复商品/跨商品批次、as_of旧301秒或超前10秒。 查询规划。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预期：明确不完整、契约或旧快照错误；不利用部分或不可信事实。history_complete=false阻止历史估计，但可信阈值可独立降级。</w:t>
      </w:r>
    </w:p>
    <w:p>
      <w:pPr>
        <w:pStyle w:val="Heading2"/>
        <w:spacing w:before="160" w:after="100"/>
      </w:pPr>
      <w:r>
        <w:t>T32 认证失败与提示注入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准备与操作：移除/伪造服务令牌，另以正确服务身份提交忽略规则和跨家庭要求。 分别请求AI及规划工具。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预期：认证失败非2xx；注入不能改变家庭作用域、跳过确认或写业务。非法字段校验不回显凭据。</w:t>
      </w:r>
    </w:p>
    <w:p>
      <w:pPr>
        <w:pStyle w:val="Heading2"/>
        <w:spacing w:before="160" w:after="100"/>
      </w:pPr>
      <w:r>
        <w:t>T33 总截止与无自动重试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准备与操作：分别让模型和工具超时，并统计调用。 初次与结构化续接各执行一次。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预期：10秒总截止内结束或按环境误差记录；error含明确超时与手动提示，已有字段保留，无自动付费重试。</w:t>
      </w:r>
    </w:p>
    <w:p>
      <w:pPr>
        <w:pStyle w:val="Heading2"/>
        <w:spacing w:before="160" w:after="100"/>
      </w:pPr>
      <w:r>
        <w:t>T34 P1 P2及单动作回归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AI及后端联调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准备与操作：执行新增、消费、库存/位置、开封、移动、丢弃、采购及风险查询；使用旧上下文。 另试多物品草稿、多动作和超过窗口范围。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预期：旧服务及旧命令行为不变、初次至多一次模型提取；越界不执行，不生成批量草稿。</w:t>
      </w:r>
    </w:p>
    <w:p>
      <w:pPr>
        <w:pStyle w:val="Heading2"/>
        <w:spacing w:before="160" w:after="100"/>
      </w:pPr>
      <w:r>
        <w:t>T35 后端确认与幂等</w:t>
      </w:r>
    </w:p>
    <w:p>
      <w:pPr>
        <w:spacing w:after="60"/>
      </w:pPr>
      <w:r>
        <w:rPr>
          <w:rFonts w:ascii="Calibri" w:hAnsi="Calibri" w:eastAsia="Microsoft YaHei"/>
          <w:b w:val="0"/>
          <w:color w:val="000000"/>
          <w:sz w:val="18"/>
        </w:rPr>
        <w:t>优先级 P0   阶段 后端确认待开发   执行结果 待执行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2"/>
        </w:rPr>
        <w:t>准备与操作：确认服务就绪且依据已持久化。 确认同一草稿两次、并发确认、改量、确认前改清单或库存版本。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预期：只成功加入一次；变化时冲突重新核对；改量标人工修订；无静默覆盖或重复待购。</w:t>
      </w:r>
    </w:p>
    <w:p>
      <w:pPr>
        <w:pStyle w:val="Heading1"/>
        <w:pageBreakBefore/>
      </w:pPr>
      <w:r>
        <w:t>10 执行命令 记录要求与验收门槛</w:t>
      </w:r>
    </w:p>
    <w:p>
      <w:r>
        <w:rPr>
          <w:rFonts w:ascii="Calibri" w:hAnsi="Calibri" w:eastAsia="Microsoft YaHei"/>
          <w:b w:val="0"/>
          <w:color w:val="000000"/>
          <w:sz w:val="22"/>
        </w:rPr>
        <w:t>在本地仓库执行，不启动新增Mock，不在正式库造数据。以下PowerShell使用本机现有Python；其他同学替换为自己的已配置Python环境，依赖沿用项目锁定版本。</w:t>
      </w:r>
    </w:p>
    <w:p>
      <w:pPr>
        <w:keepLines/>
        <w:spacing w:line="250" w:lineRule="auto" w:before="60" w:after="140"/>
      </w:pPr>
      <w:r>
        <w:rPr>
          <w:rFonts w:ascii="Consolas" w:hAnsi="Consolas" w:eastAsia="Microsoft YaHei"/>
          <w:b w:val="0"/>
          <w:color w:val="000000"/>
          <w:sz w:val="18"/>
        </w:rPr>
        <w:t>Set-Location '&lt;仓库绝对路径&gt;'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$env:PYTHONPATH = (Join-Path (Get-Location) 'agent')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python -m pytest agent/tests backend/tests -q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Set-Location agent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python -m eval.p3.run --engine rules --split test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# 真实模型需要受保护配置与已核实费率，不把密钥写入命令日志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python -m eval.p3.run --engine deepseek --split test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python -m p3.export_contract</w:t>
      </w:r>
    </w:p>
    <w:p>
      <w:r>
        <w:rPr>
          <w:rFonts w:ascii="Calibri" w:hAnsi="Calibri" w:eastAsia="Microsoft YaHei"/>
          <w:b w:val="0"/>
          <w:color w:val="000000"/>
          <w:sz w:val="22"/>
        </w:rPr>
        <w:t>已有264项开发回归通过；60条真实模型保留流程全检查通过，P95约2.14秒。独立复测需记录引擎、提示版本、数据集哈希、环境与后端版本；别覆盖旧报告或用保留集调参。测试环境没有规划接口时记录Blocked，不伪造正常返回，不填Pass。</w:t>
      </w:r>
    </w:p>
    <w:p>
      <w:pPr>
        <w:pStyle w:val="Heading2"/>
      </w:pPr>
      <w:r>
        <w:t>缺陷与执行记录至少包含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2088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992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填写内容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标识与环境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用例ID、优先级、日期、执行人、代码/模型/策略/后端版本、家庭时区。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操作与数据</w:t>
            </w:r>
          </w:p>
        </w:tc>
        <w:tc>
          <w:tcPr>
            <w:tcW w:type="dxa" w:w="79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隔离家庭标识、脱敏输入、数据变更、步骤；不存令牌和真实私密数据。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可追溯证据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trace_id、snapshot_id、revision、版本、水位、实际JSON、耗时和日志链接。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结果</w:t>
            </w:r>
          </w:p>
        </w:tc>
        <w:tc>
          <w:tcPr>
            <w:tcW w:type="dxa" w:w="79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预期与实际、Pass/Fail/Blocked/Not run、缺陷ID、阻塞原因、复测结论；无写审计前后对比。</w:t>
            </w:r>
          </w:p>
        </w:tc>
      </w:tr>
    </w:tbl>
    <w:p>
      <w:pPr>
        <w:spacing w:after="2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2"/>
      </w:pPr>
      <w:r>
        <w:t>验收分开记录</w:t>
      </w:r>
    </w:p>
    <w:p>
      <w:r>
        <w:rPr>
          <w:rFonts w:ascii="Calibri" w:hAnsi="Calibri" w:eastAsia="Microsoft YaHei"/>
          <w:b w:val="0"/>
          <w:color w:val="000000"/>
          <w:sz w:val="22"/>
        </w:rPr>
        <w:t>AI专项：确定性字段、专项边界、草稿及无写入检查全部正确；初次至多一次模型提取、续接零模型调用。构造评测目标为意图≥90%、澄清召回≥95%、草稿字段100%、完整AI流程P95≤10秒。真实后端延迟必须另测，不能直接沿用夹具结果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正式接入：上述联调用例无未解决P0缺陷，身份隔离、快照、持久化、确认事务、并发幂等及数据库审计通过。真实效果：另采集至少30个经人工核验、未受干预的真实耗尽区间，按当时快照回测，报告误差/覆盖/拒绝并做基线比较；门槛未冻结前不宣布预测有效。</w:t>
      </w:r>
    </w:p>
    <w:p>
      <w:r>
        <w:rPr>
          <w:rFonts w:ascii="Calibri" w:hAnsi="Calibri" w:eastAsia="Microsoft YaHei"/>
          <w:b w:val="0"/>
          <w:color w:val="000000"/>
          <w:sz w:val="18"/>
        </w:rPr>
        <w:t>测试与机器契约</w:t>
        <w:br/>
        <w:t>agent/tests/test_p3.py；docs/versions/V1-P3/ai-openapi.json</w:t>
      </w:r>
    </w:p>
    <w:p>
      <w:r>
        <w:rPr>
          <w:rFonts w:ascii="Calibri" w:hAnsi="Calibri" w:eastAsia="Microsoft YaHei"/>
          <w:b w:val="0"/>
          <w:color w:val="000000"/>
          <w:sz w:val="18"/>
        </w:rPr>
        <w:t>开发证据与回测工具</w:t>
        <w:br/>
        <w:t>docs/versions/V1-P3/validation-summary.json；agent/eval/p3/backtest.py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80" w:bottom="950" w:left="1080" w:header="403" w:footer="40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000000"/>
        <w:sz w:val="16"/>
      </w:rPr>
      <w:t xml:space="preserve">2026年10月15日   第 </w:t>
    </w:r>
    <w:fldSimple w:instr="PAGE"/>
    <w:r>
      <w:rPr>
        <w:rFonts w:ascii="Calibri" w:hAnsi="Calibri" w:eastAsia="Microsoft YaHei"/>
        <w:b w:val="0"/>
        <w:color w:val="00000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000000"/>
        <w:sz w:val="16"/>
      </w:rPr>
      <w:t>CS353 团队项目   V1 P3   AI阶段交接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  <w:rPr>
      <w:rFonts w:ascii="Calibri" w:hAnsi="Calibr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 P3 测试执行与验收说明</dc:title>
  <dc:subject>测试数据 用例步骤 预期结果与缺陷记录</dc:subject>
  <dc:creator>MagicVVu 项目AI开发负责人</dc:creator>
  <cp:keywords>V1-P3,AI,开发成果,后端契约,测试交接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