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P4 测试交接文档</w:t>
      </w:r>
    </w:p>
    <w:p>
      <w:r>
        <w:rPr>
          <w:b w:val="0"/>
        </w:rPr>
        <w:t>版本 V1-P4    日期 2026年10月15日    编写 MagicVVu</w:t>
      </w:r>
    </w:p>
    <w:p>
      <w:r>
        <w:rPr>
          <w:b w:val="0"/>
        </w:rPr>
        <w:t>接收对象 Garin-cyber及参与复测的队友</w:t>
      </w:r>
    </w:p>
    <w:p>
      <w:r>
        <w:rPr>
          <w:b w:val="0"/>
        </w:rPr>
        <w:t>请用原冻结用例复测P4，重点确认解析修复、查询范围和未确认不写入。复测需要同时保留原断言结果与版本契约结论，不能把所有FAIL计为程序缺陷，也不能把BLOCKED记为通过。</w:t>
      </w:r>
    </w:p>
    <w:p>
      <w:pPr>
        <w:pStyle w:val="Heading1"/>
      </w:pPr>
      <w:r>
        <w:t>交接基线</w:t>
      </w:r>
    </w:p>
    <w:p>
      <w:r>
        <w:rPr>
          <w:b w:val="0"/>
        </w:rPr>
        <w:t>修复对象来自 tests/garin/失败清单.json，原记录对应5a056831；P4基于16ae519工作区。本轮为rules、进程内HTTP和独立库存夹具，未调用真实模型、正式数据库或手机存储。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1417"/>
        <w:gridCol w:w="1871"/>
        <w:gridCol w:w="1701"/>
        <w:gridCol w:w="1814"/>
      </w:tblGrid>
      <w:tr>
        <w:trPr>
          <w:tblHeader/>
          <w:cantSplit/>
        </w:trPr>
        <w:tc>
          <w:tcPr>
            <w:tcW w:type="dxa" w:w="2835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目标 每组278条</w:t>
            </w:r>
          </w:p>
        </w:tc>
        <w:tc>
          <w:tcPr>
            <w:tcW w:type="dxa" w:w="1417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87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旧断言失败</w:t>
            </w:r>
          </w:p>
        </w:tc>
        <w:tc>
          <w:tcPr>
            <w:tcW w:type="dxa" w:w="1701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待定</w:t>
            </w:r>
          </w:p>
        </w:tc>
        <w:tc>
          <w:tcPr>
            <w:tcW w:type="dxa" w:w="1814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/>
                <w:color w:val="FFFFFF"/>
                <w:sz w:val="19"/>
              </w:rPr>
              <w:t>未覆盖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260</w:t>
            </w:r>
          </w:p>
        </w:tc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1417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187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81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Android网关</w:t>
            </w:r>
          </w:p>
        </w:tc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210</w:t>
            </w:r>
          </w:p>
        </w:tc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b w:val="0"/>
                <w:sz w:val="19"/>
              </w:rPr>
              <w:t>32</w:t>
            </w:r>
          </w:p>
        </w:tc>
      </w:tr>
    </w:tbl>
    <w:p>
      <w:pPr>
        <w:spacing w:after="0"/>
      </w:pPr>
    </w:p>
    <w:p>
      <w:r>
        <w:rPr>
          <w:b w:val="0"/>
        </w:rPr>
        <w:t>验收参考：381项源码及回归测试通过；P1/P2/P3各90开发和60保留样本，共450条构造样本流程的规则检查全通过。84次原程序问题中81次通过旧断言，3次解析修复后命中既有契约边界。</w:t>
      </w:r>
    </w:p>
    <w:p>
      <w:pPr>
        <w:pStyle w:val="Heading1"/>
      </w:pPr>
      <w:r>
        <w:t>读证据的顺序</w:t>
      </w:r>
    </w:p>
    <w:p>
      <w:r>
        <w:rPr>
          <w:b w:val="0"/>
        </w:rPr>
        <w:t>交付根目录为 docs/versions/V1-P4。最终证据保存在 evidence/final；原测试说明和历史证据位于 tests/garin，均未覆盖。</w:t>
      </w:r>
    </w:p>
    <w:p>
      <w:pPr>
        <w:pStyle w:val="ListBullet"/>
      </w:pPr>
      <w:r>
        <w:t>validation-summary.json：381项测试、六组独立规则评测及当前源码哈希。</w:t>
      </w:r>
    </w:p>
    <w:p>
      <w:pPr>
        <w:pStyle w:val="ListBullet"/>
      </w:pPr>
      <w:r>
        <w:t>legacy/verification.json：84次程序问题的逐项结论、旧断言差异和证据行号。</w:t>
      </w:r>
    </w:p>
    <w:p>
      <w:pPr>
        <w:pStyle w:val="ListBullet"/>
      </w:pPr>
      <w:r>
        <w:t>legacy 下三组 results.jsonl：实际响应与独立前后库存快照。</w:t>
      </w:r>
    </w:p>
    <w:p>
      <w:pPr>
        <w:pStyle w:val="ListBullet"/>
      </w:pPr>
      <w:r>
        <w:t>frozen-integrity.json：当前CRLF检出与历史LF文件归一化后哈希一致。</w:t>
      </w:r>
    </w:p>
    <w:p>
      <w:r>
        <w:rPr>
          <w:b w:val="0"/>
        </w:rPr>
        <w:t>legacy/verification.json中的resolved列出target、id、resolution、legacy_status、legacy_failures和证据行。program_defects_resolved=true不等于legacy_required_pass=true，也不代表正式设备验收完成。</w:t>
      </w:r>
    </w:p>
    <w:p>
      <w:r>
        <w:br w:type="page"/>
      </w:r>
    </w:p>
    <w:p>
      <w:pPr>
        <w:pStyle w:val="Heading1"/>
      </w:pPr>
      <w:r>
        <w:t>重点复测用例</w:t>
      </w:r>
    </w:p>
    <w:p>
      <w:r>
        <w:rPr>
          <w:b w:val="0"/>
        </w:rPr>
        <w:t>以下为优先抽查清单，不能替代全部84次问题记录及全量旧包。涉及候选、终态或采购限制的用例必须使用对应隔离种子，不用当前个人库存替换。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3402"/>
        <w:gridCol w:w="4762"/>
      </w:tblGrid>
      <w:tr>
        <w:trPr>
          <w:tblHeader/>
          <w:cantSplit/>
        </w:trPr>
        <w:tc>
          <w:tcPr>
            <w:tcW w:type="dxa" w:w="1474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代表ID</w:t>
            </w:r>
          </w:p>
        </w:tc>
        <w:tc>
          <w:tcPr>
            <w:tcW w:type="dxa" w:w="3402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762"/>
            <w:vAlign w:val="center"/>
            <w:shd w:fill="25445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/>
                <w:color w:val="FFFFFF"/>
                <w:sz w:val="19"/>
              </w:rPr>
              <w:t>关键预期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p0-46-0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果汁库存有多少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P1仅查果汁；无匹配时返回空facts，不返回其他家庭内物品。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p0-18-1</w:t>
              <w:br/>
              <w:t>p0-20-0</w:t>
            </w:r>
          </w:p>
        </w:tc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查牛奶库存</w:t>
              <w:br/>
              <w:t>查看所有库存</w:t>
            </w:r>
          </w:p>
        </w:tc>
        <w:tc>
          <w:tcPr>
            <w:tcW w:type="dxa" w:w="476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前者按牛奶查找，后者才允许整家庭列表。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p0-21-0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放在哪里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P1要求补name，不伪装成已完成查询。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p0-11-2</w:t>
            </w:r>
          </w:p>
        </w:tc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洗衣液减100毫升</w:t>
            </w:r>
          </w:p>
        </w:tc>
        <w:tc>
          <w:tcPr>
            <w:tcW w:type="dxa" w:w="476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P1识别CONSUME，批次及版本来自工具。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ext-012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采购清单加2盒牛奶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P0/P1识别PLAN_ADD；Android按唯一登记和单位规则判定。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p0-33-1/2</w:t>
            </w:r>
          </w:p>
        </w:tc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新增饼干2袋</w:t>
              <w:br/>
              <w:t>饼干入库两袋</w:t>
            </w:r>
          </w:p>
        </w:tc>
        <w:tc>
          <w:tcPr>
            <w:tcW w:type="dxa" w:w="476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识别饼干与数量2，生成待确认入库草稿。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ext-023/024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买了十二个鸡蛋</w:t>
              <w:br/>
              <w:t>买了二十一个鸡蛋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数量分别12和21，不再要求补数量。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ext-027/028</w:t>
            </w:r>
          </w:p>
        </w:tc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买了2盒和润牛奶</w:t>
              <w:br/>
              <w:t>买了2包和味饼干</w:t>
            </w:r>
          </w:p>
        </w:tc>
        <w:tc>
          <w:tcPr>
            <w:tcW w:type="dxa" w:w="476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保留完整品牌，不能误判多物品或缩成牛奶。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ext-039/042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日期前置及双日期输入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购入和到期日期保留；年份不能成为数量。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ext-048/049</w:t>
            </w:r>
          </w:p>
        </w:tc>
        <w:tc>
          <w:tcPr>
            <w:tcW w:type="dxa" w:w="340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昨天或上周买了2盒牛奶</w:t>
            </w:r>
          </w:p>
        </w:tc>
        <w:tc>
          <w:tcPr>
            <w:tcW w:type="dxa" w:w="4762"/>
            <w:vAlign w:val="center"/>
            <w:shd w:fill="F4F7FA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先澄清日期；P1补绝对日期后可继续，不丢已填数量。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ext-033/081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买了2盒牛奶！</w:t>
              <w:br/>
              <w:t>买了2盒牛奶又喝了1盒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before="0" w:line="269" w:lineRule="auto"/>
            </w:pPr>
            <w:r>
              <w:rPr>
                <w:b w:val="0"/>
                <w:sz w:val="19"/>
              </w:rPr>
              <w:t>前者名称为牛奶；后者unsupported，无可执行草稿。</w:t>
            </w:r>
          </w:p>
        </w:tc>
      </w:tr>
    </w:tbl>
    <w:p>
      <w:pPr>
        <w:spacing w:after="0"/>
      </w:pPr>
    </w:p>
    <w:p>
      <w:r>
        <w:rPr>
          <w:b w:val="0"/>
        </w:rPr>
        <w:t>每条检查original_text、trace_id和draft；没有needs_confirmation时不得返回可执行草稿。对实际读到的facts/candidates核对家庭、批次、数量、单位、状态和版本。保存独立前后快照，不能只看reply判断正确。</w:t>
      </w:r>
    </w:p>
    <w:p>
      <w:r>
        <w:br w:type="page"/>
      </w:r>
    </w:p>
    <w:p>
      <w:pPr>
        <w:pStyle w:val="Heading1"/>
      </w:pPr>
      <w:r>
        <w:t>版本差异和未覆盖项</w:t>
      </w:r>
    </w:p>
    <w:p>
      <w:pPr>
        <w:pStyle w:val="Heading2"/>
      </w:pPr>
      <w:r>
        <w:t>三条保留的契约边界</w:t>
      </w:r>
    </w:p>
    <w:p>
      <w:r>
        <w:rPr>
          <w:b w:val="0"/>
        </w:rPr>
        <w:t>P1的p0-41-2已正确识别“纸巾减1包”为CONSUME；因目标批次已结束，按P1返回answered和BATCH_TERMINAL，无草稿、无写入。旧P0要求needs_clarification，因此旧FAIL保留。</w:t>
      </w:r>
    </w:p>
    <w:p>
      <w:r>
        <w:rPr>
          <w:b w:val="0"/>
        </w:rPr>
        <w:t>Android的ext-013和ext-015已识别“采购清单加3包饼干”和“采购清单加2卷垃圾袋”为PLAN_ADD；由于隔离种子未登记这两种物品，返回PLAN_ITEM_REQUIRED，无草稿、无写入。P0/P1同表达已通过旧断言。</w:t>
      </w:r>
    </w:p>
    <w:p>
      <w:pPr>
        <w:pStyle w:val="Heading1"/>
      </w:pPr>
      <w:r>
        <w:t>另外需要保留的分类</w:t>
      </w:r>
    </w:p>
    <w:p>
      <w:pPr>
        <w:pStyle w:val="ListBullet"/>
      </w:pPr>
      <w:r>
        <w:t>P1原18次版本差异：开封、移动、丢弃的支持范围，提前展示候选，以及结束批次等返回规则。旧P0答案保留，若建立P1预期则单独版本化并人工审核。</w:t>
      </w:r>
    </w:p>
    <w:p>
      <w:pPr>
        <w:pStyle w:val="ListBullet"/>
      </w:pPr>
      <w:r>
        <w:t>Android原16次采购限制：唯一已登记名称及可换算单位。重复同名批次、未登记物品和不可换算单位不能强行转成可执行草稿。</w:t>
      </w:r>
    </w:p>
    <w:p>
      <w:pPr>
        <w:pStyle w:val="ListBullet"/>
      </w:pPr>
      <w:r>
        <w:t>每组18条REVIEW仍待团队定标。例如“创可贴快用完了”不应直接固定成已发生的消耗。原150条人工栏位不能由脚本或本文件代签。</w:t>
      </w:r>
    </w:p>
    <w:p>
      <w:pPr>
        <w:pStyle w:val="ListBullet"/>
      </w:pPr>
      <w:r>
        <w:t>P1和Android各32条旧确认流程仍BLOCKED；24条后续场景没有设备或正式环境驱动，仍未执行。</w:t>
      </w:r>
    </w:p>
    <w:p>
      <w:pPr>
        <w:pStyle w:val="Heading1"/>
      </w:pPr>
      <w:r>
        <w:t>必须安排的真实环境验证</w:t>
      </w:r>
    </w:p>
    <w:p>
      <w:r>
        <w:rPr>
          <w:b w:val="0"/>
        </w:rPr>
        <w:t>隔离测试家庭及设备准备后，继续验证文字到候选、澄清、草稿、用户确认和账本变更的闭环。重复确认、取消、过期、旧revision、库存版本冲突、撤销、数据库故障回滚、重启持久化、并发和断网恢复均需业务前后端及真实存储证据。</w:t>
      </w:r>
    </w:p>
    <w:p>
      <w:r>
        <w:rPr>
          <w:b w:val="0"/>
        </w:rPr>
        <w:t>后续真实模型复测应另记模型、提示版本、费用、数据来源和逐条结果，不能沿用这轮rules成绩。语音和性能也不在本轮完成范围。</w:t>
      </w:r>
    </w:p>
    <w:p>
      <w:r>
        <w:br w:type="page"/>
      </w:r>
    </w:p>
    <w:p>
      <w:pPr>
        <w:pStyle w:val="Heading1"/>
      </w:pPr>
      <w:r>
        <w:t>复跑步骤和回传要求</w:t>
      </w:r>
    </w:p>
    <w:p>
      <w:r>
        <w:rPr>
          <w:b w:val="0"/>
        </w:rPr>
        <w:t>环境：Python 3.12至3.13，agent/requirements.lock.txt所列依赖；Windows另需tzdata。脚本不自动安装依赖。请在仓库根目录执行，输出目录必须尚不存在，每轮更换目录名。</w:t>
      </w:r>
    </w:p>
    <w:p>
      <w:pPr>
        <w:spacing w:line="259" w:lineRule="auto" w:after="140"/>
      </w:pPr>
      <w:r>
        <w:rPr>
          <w:rFonts w:ascii="Consolas" w:hAnsi="Consolas" w:eastAsia="宋体"/>
          <w:sz w:val="17"/>
        </w:rPr>
        <w:t>$env:PYTHONPATH = Join-Path $PWD 'agent'</w:t>
      </w:r>
      <w:r>
        <w:rPr>
          <w:rFonts w:ascii="Consolas" w:hAnsi="Consolas" w:eastAsia="宋体"/>
          <w:sz w:val="17"/>
        </w:rPr>
        <w:br/>
        <w:t>$env:PYTHONIOENCODING = 'utf-8'</w:t>
      </w:r>
      <w:r>
        <w:rPr>
          <w:rFonts w:ascii="Consolas" w:hAnsi="Consolas" w:eastAsia="宋体"/>
          <w:sz w:val="17"/>
        </w:rPr>
        <w:br/>
        <w:t>python -m eval.p4.validate --out agent/.cache/p4/recheck-001</w:t>
      </w:r>
    </w:p>
    <w:p>
      <w:r>
        <w:rPr>
          <w:b w:val="0"/>
        </w:rPr>
        <w:t>本轮可用解释器为 D:\python\python3.13.5\python.exe。团队成员可替换为自己的符合版本解释器。脚本清除本进程中的模型配置、强制rules并阻断外部socket，只放行Windows asyncio自身的唤醒连接。</w:t>
      </w:r>
    </w:p>
    <w:p>
      <w:r>
        <w:rPr>
          <w:b w:val="0"/>
        </w:rPr>
        <w:t>退出0要求源码测试、原程序缺陷核验和六组独立规则评测均通过。旧包的版本差异和BLOCKED仍原样存在，所以不要用退出0宣布旧包全绿。非0时先查看pytest-output.txt、legacy/verification.json和native输出；执行中异常需同时保留终端错误。</w:t>
      </w:r>
    </w:p>
    <w:p>
      <w:pPr>
        <w:pStyle w:val="Heading1"/>
      </w:pPr>
      <w:r>
        <w:t>交回的结果应包含</w:t>
      </w:r>
    </w:p>
    <w:p>
      <w:pPr>
        <w:pStyle w:val="ListBullet"/>
      </w:pPr>
      <w:r>
        <w:t>本轮源码提交或工作区基线、修复文件哈希、用例哈希、解释器和依赖版本、运行时间及命令。</w:t>
      </w:r>
    </w:p>
    <w:p>
      <w:pPr>
        <w:pStyle w:val="ListBullet"/>
      </w:pPr>
      <w:r>
        <w:t>按P0、P1和Android分别记录PASS、FAIL、REVIEW、BLOCKED；不把跨目标重复输入合并成独立样本数。</w:t>
      </w:r>
    </w:p>
    <w:p>
      <w:pPr>
        <w:pStyle w:val="ListBullet"/>
      </w:pPr>
      <w:r>
        <w:t>新增问题附target、ID、原文、预期、实际完整JSON、HTTP状态、trace_id，以及独立前后状态和复现步骤。</w:t>
      </w:r>
    </w:p>
    <w:p>
      <w:pPr>
        <w:pStyle w:val="ListBullet"/>
      </w:pPr>
      <w:r>
        <w:t>三条既有契约边界单列，标注是否符合当前契约；人工定标附复核人、日期和结论，不覆写冻结旧答案。</w:t>
      </w:r>
    </w:p>
    <w:p>
      <w:pPr>
        <w:pStyle w:val="Heading1"/>
      </w:pPr>
      <w:r>
        <w:t>本轮关闭条件</w:t>
      </w:r>
    </w:p>
    <w:p>
      <w:r>
        <w:rPr>
          <w:b w:val="0"/>
        </w:rPr>
        <w:t>已覆盖的程序缺陷无未解决项、无新增回归，状态与草稿一致，隔离消息处理无库存写入，且版本差异和未覆盖项得到完整保留，才可确认本轮修复复测完成。正式发布验收还必须满足真实环境闭环条件。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V1-P4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Calibri" w:hAnsi="Calibri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93" w:lineRule="auto"/>
      <w:outlineLvl w:val="0"/>
    </w:pPr>
    <w:rPr>
      <w:rFonts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93" w:lineRule="auto"/>
      <w:outlineLvl w:val="1"/>
    </w:pPr>
    <w:rPr>
      <w:rFonts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93" w:lineRule="auto"/>
      <w:contextualSpacing/>
    </w:pPr>
    <w:rPr>
      <w:rFonts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3" w:lineRule="auto"/>
    </w:pPr>
    <w:rPr>
      <w:rFonts w:ascii="Calibri" w:hAnsi="Calibri" w:eastAsia="宋体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3" w:lineRule="auto"/>
      <w:contextualSpacing/>
    </w:pPr>
    <w:rPr>
      <w:rFonts w:ascii="Calibri" w:hAnsi="Calibri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P4 测试交接文档</dc:title>
  <dc:subject>V1-P4 2026-10-15</dc:subject>
  <dc:creator>MagicVVu</dc:creator>
  <cp:keywords>P4 测试修复 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