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Garin V1 分阶段测试工作记录</w:t>
      </w:r>
    </w:p>
    <w:p>
      <w:r>
        <w:t>第一批离线复测与联调待办  2026年10月16日</w:t>
      </w:r>
    </w:p>
    <w:p>
      <w:r>
        <w:t>工作归属：garin-cyber。面向AI、前后端与UI成员交接；自动化执行和证据已整理，人工样本复核仍以原文件签字状态为准。</w:t>
      </w:r>
    </w:p>
    <w:p>
      <w:r>
        <w:t>本轮已完成P0至P5现阶段可离线执行的检查、后端临时SQLite测试、Android调试构建及17项单元测试。Lint仍受离线依赖阻塞，App与真实PostgreSQL闭环尚未执行，因此不能宣布完整V1验收通过。</w:t>
      </w:r>
    </w:p>
    <w:p>
      <w:pPr>
        <w:pStyle w:val="Heading1"/>
      </w:pPr>
      <w:r>
        <w:t>基线和实际成绩</w:t>
      </w:r>
    </w:p>
    <w:p>
      <w:r>
        <w:t>固定基线：dev分支 a251aa033586e915cb49e35bbd242efccb358de6。全部运行于隔离源码副本，AI与云端后端各用独立Python环境，默认rules。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268"/>
        <w:gridCol w:w="5329"/>
      </w:tblGrid>
      <w:tr>
        <w:trPr>
          <w:cantSplit/>
          <w:tblHeader/>
        </w:trPr>
        <w:tc>
          <w:tcPr>
            <w:tcW w:type="dxa" w:w="2041"/>
            <w:vAlign w:val="center"/>
            <w:shd w:fill="E7EEF5"/>
          </w:tcPr>
          <w:p>
            <w:pPr>
              <w:spacing w:before="60" w:after="60" w:line="260" w:lineRule="exact"/>
              <w:jc w:val="center"/>
            </w:pPr>
            <w:r>
              <w:rPr>
                <w:b/>
                <w:sz w:val="18"/>
              </w:rPr>
              <w:t>测试组</w:t>
            </w:r>
          </w:p>
        </w:tc>
        <w:tc>
          <w:tcPr>
            <w:tcW w:type="dxa" w:w="2268"/>
            <w:vAlign w:val="center"/>
            <w:shd w:fill="E7EEF5"/>
          </w:tcPr>
          <w:p>
            <w:pPr>
              <w:spacing w:before="60" w:after="60" w:line="260" w:lineRule="exact"/>
              <w:jc w:val="center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5329"/>
            <w:vAlign w:val="center"/>
            <w:shd w:fill="E7EEF5"/>
          </w:tcPr>
          <w:p>
            <w:pPr>
              <w:spacing w:before="60" w:after="60" w:line="260" w:lineRule="exact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AI源码首轮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462通过 2失败</w:t>
            </w:r>
          </w:p>
        </w:tc>
        <w:tc>
          <w:tcPr>
            <w:tcW w:type="dxa" w:w="5329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副本缺文件及P5测试误报，均保留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AI源码完整复跑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464通过</w:t>
            </w:r>
          </w:p>
        </w:tc>
        <w:tc>
          <w:tcPr>
            <w:tcW w:type="dxa" w:w="5329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补齐同版本部署模板；未改断言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P1 P2 P3 P5规则集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各90加60通过</w:t>
            </w:r>
          </w:p>
        </w:tc>
        <w:tc>
          <w:tcPr>
            <w:tcW w:type="dxa" w:w="5329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各阶段分别统计，不当真人样本相加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Garin专项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22项通过</w:t>
            </w:r>
          </w:p>
        </w:tc>
        <w:tc>
          <w:tcPr>
            <w:tcW w:type="dxa" w:w="5329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对应24条观察证据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云端后端本地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40项通过</w:t>
            </w:r>
          </w:p>
        </w:tc>
        <w:tc>
          <w:tcPr>
            <w:tcW w:type="dxa" w:w="5329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临时SQLite；另有9条弃用警告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库存采购参考流程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1项通过</w:t>
            </w:r>
          </w:p>
        </w:tc>
        <w:tc>
          <w:tcPr>
            <w:tcW w:type="dxa" w:w="5329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总库存3盒、幂等与冲突检查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Android调试构建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5329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未安装APK，未连接服务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Android单元测试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17项通过</w:t>
            </w:r>
          </w:p>
        </w:tc>
        <w:tc>
          <w:tcPr>
            <w:tcW w:type="dxa" w:w="5329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JUnit证据已独立保存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Android Lint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BLOCKED</w:t>
            </w:r>
          </w:p>
        </w:tc>
        <w:tc>
          <w:tcPr>
            <w:tcW w:type="dxa" w:w="5329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离线缓存缺少Compose依赖</w:t>
            </w:r>
          </w:p>
        </w:tc>
      </w:tr>
    </w:tbl>
    <w:p/>
    <w:p>
      <w:r>
        <w:t>各组复用了部分相同功能和数据，不能合成一个总通过率。规则评测中的model_calls代表提取次数，本轮付费模型调用为0。</w:t>
      </w:r>
    </w:p>
    <w:p>
      <w:r>
        <w:t>未访问18080正式服务，未请求18081或连接真实用户数据库。原684个范围外跟踪文件、78个旧Garin文件及410个副本输入的哈希均保持一致。</w:t>
      </w:r>
    </w:p>
    <w:p>
      <w:r>
        <w:br w:type="page"/>
      </w:r>
    </w:p>
    <w:p>
      <w:pPr>
        <w:pStyle w:val="Heading1"/>
      </w:pPr>
      <w:r>
        <w:t>各阶段的检查和旧问题复测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880"/>
      </w:tblGrid>
      <w:tr>
        <w:trPr>
          <w:cantSplit/>
          <w:tblHeader/>
        </w:trPr>
        <w:tc>
          <w:tcPr>
            <w:tcW w:type="dxa" w:w="1757"/>
            <w:vAlign w:val="center"/>
            <w:shd w:fill="E7EEF5"/>
          </w:tcPr>
          <w:p>
            <w:pPr>
              <w:spacing w:before="60" w:after="60" w:line="260" w:lineRule="exact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7880"/>
            <w:vAlign w:val="center"/>
            <w:shd w:fill="E7EEF5"/>
          </w:tcPr>
          <w:p>
            <w:pPr>
              <w:spacing w:before="60" w:after="60" w:line="260" w:lineRule="exact"/>
            </w:pPr>
            <w:r>
              <w:rPr>
                <w:b/>
                <w:sz w:val="18"/>
              </w:rPr>
              <w:t>本轮检查重点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P0 基础操作</w:t>
            </w:r>
          </w:p>
        </w:tc>
        <w:tc>
          <w:tcPr>
            <w:tcW w:type="dxa" w:w="7880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原150条、扩展96条及32条旧流程复用；另查中文数量、完整品牌、注入与多操作。草稿生成前后库存保持一致。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P1 生命周期</w:t>
            </w:r>
          </w:p>
        </w:tc>
        <w:tc>
          <w:tcPr>
            <w:tcW w:type="dxa" w:w="7880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开封、整批移动、部分及全部丢弃；唯一批次、多批次选择和零库存终止批次分别准备。检查预览、澄清与版本，不把预览当正式提交。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P2 风险</w:t>
            </w:r>
          </w:p>
        </w:tc>
        <w:tc>
          <w:tcPr>
            <w:tcW w:type="dxa" w:w="7880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期限类型、缺保存条件、到期风险、事实和规则版本；冰箱位置不当温度，绿色结果不保证安全。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P3 预测补货</w:t>
            </w:r>
          </w:p>
        </w:tc>
        <w:tc>
          <w:tcPr>
            <w:tcW w:type="dxa" w:w="7880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固定时钟及完整观察日、消费去重、非消费事件排除、待购扣减和缺数据降级。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P4 历史问题</w:t>
            </w:r>
          </w:p>
        </w:tc>
        <w:tc>
          <w:tcPr>
            <w:tcW w:type="dxa" w:w="7880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原84次程序问题逐项对照，保留所有旧断言与FAIL。117项P4源码用例包含在464项内。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P5 确认与任务</w:t>
            </w:r>
          </w:p>
        </w:tc>
        <w:tc>
          <w:tcPr>
            <w:tcW w:type="dxa" w:w="7880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识别99盒改2盒；口误、否定与转述先澄清；未确认输入不提取；不支持的公开续接在HTTP前拒绝。</w:t>
            </w:r>
          </w:p>
        </w:tc>
      </w:tr>
    </w:tbl>
    <w:p/>
    <w:p>
      <w:pPr>
        <w:pStyle w:val="Heading2"/>
      </w:pPr>
      <w:r>
        <w:t>两个可直接复现的参考结果</w:t>
      </w:r>
    </w:p>
    <w:p>
      <w:r>
        <w:t>P3：固定2026年10月15日，28个完整观察日消费7盒、库存2盒，得到日均0.25盒、剩余8天、参考日期10月23日。按14日覆盖和2日提前量计算，已有待购1盒时，新建议1盒。</w:t>
      </w:r>
    </w:p>
    <w:p>
      <w:r>
        <w:t>后端：新增2盒牛奶，消耗0.5盒，计划采购2盒，实买1.5盒。实际旧批1.5盒、新批1.5盒，总计3盒。重复消耗不再扣减，旧版本操作返回409，重复采购不再入库，其他家庭访问返回404。此项只验证临时SQLite中的接口行为。</w:t>
      </w:r>
    </w:p>
    <w:p>
      <w:pPr>
        <w:pStyle w:val="Heading2"/>
      </w:pPr>
      <w:r>
        <w:t>旧评测器实际结果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1701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2835"/>
            <w:vAlign w:val="center"/>
            <w:shd w:fill="E7EEF5"/>
          </w:tcPr>
          <w:p>
            <w:pPr>
              <w:spacing w:before="60" w:after="60" w:line="260" w:lineRule="exact"/>
              <w:jc w:val="center"/>
            </w:pPr>
            <w:r>
              <w:rPr>
                <w:b/>
                <w:sz w:val="18"/>
              </w:rPr>
              <w:t>入口</w:t>
            </w:r>
          </w:p>
        </w:tc>
        <w:tc>
          <w:tcPr>
            <w:tcW w:type="dxa" w:w="1701"/>
            <w:vAlign w:val="center"/>
            <w:shd w:fill="E7EEF5"/>
          </w:tcPr>
          <w:p>
            <w:pPr>
              <w:spacing w:before="60" w:after="60" w:line="260" w:lineRule="exact"/>
              <w:jc w:val="center"/>
            </w:pPr>
            <w:r>
              <w:rPr>
                <w:b/>
                <w:sz w:val="18"/>
              </w:rPr>
              <w:t>PASS</w:t>
            </w:r>
          </w:p>
        </w:tc>
        <w:tc>
          <w:tcPr>
            <w:tcW w:type="dxa" w:w="1701"/>
            <w:vAlign w:val="center"/>
            <w:shd w:fill="E7EEF5"/>
          </w:tcPr>
          <w:p>
            <w:pPr>
              <w:spacing w:before="60" w:after="60" w:line="260" w:lineRule="exact"/>
            </w:pPr>
            <w:r>
              <w:rPr>
                <w:b/>
                <w:sz w:val="18"/>
              </w:rPr>
              <w:t>FAIL</w:t>
            </w:r>
          </w:p>
        </w:tc>
        <w:tc>
          <w:tcPr>
            <w:tcW w:type="dxa" w:w="1701"/>
            <w:vAlign w:val="center"/>
            <w:shd w:fill="E7EEF5"/>
          </w:tcPr>
          <w:p>
            <w:pPr>
              <w:spacing w:before="60" w:after="60" w:line="260" w:lineRule="exact"/>
            </w:pPr>
            <w:r>
              <w:rPr>
                <w:b/>
                <w:sz w:val="18"/>
              </w:rPr>
              <w:t>REVIEW</w:t>
            </w:r>
          </w:p>
        </w:tc>
        <w:tc>
          <w:tcPr>
            <w:tcW w:type="dxa" w:w="1701"/>
            <w:vAlign w:val="center"/>
            <w:shd w:fill="E7EEF5"/>
          </w:tcPr>
          <w:p>
            <w:pPr>
              <w:spacing w:before="60" w:after="60" w:line="260" w:lineRule="exact"/>
            </w:pPr>
            <w:r>
              <w:rPr>
                <w:b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260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209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旧Android快照网关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210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32</w:t>
            </w:r>
          </w:p>
        </w:tc>
      </w:tr>
    </w:tbl>
    <w:p/>
    <w:p>
      <w:r>
        <w:t>原84次程序问题中，81条满足原断言；另外3条仍为FAIL：P1的p0-41-2返回BATCH_TERMINAL，旧Android网关的ext-013和ext-015受未注册采购品限制。它们属于现有契约边界，包含在上述37条FAIL内，不重复相加。</w:t>
      </w:r>
    </w:p>
    <w:p>
      <w:r>
        <w:br w:type="page"/>
      </w:r>
    </w:p>
    <w:p>
      <w:pPr>
        <w:pStyle w:val="Heading1"/>
      </w:pPr>
      <w:r>
        <w:t>失败分类和证据处理</w:t>
      </w:r>
    </w:p>
    <w:p>
      <w:pPr>
        <w:pStyle w:val="Heading2"/>
      </w:pPr>
      <w:r>
        <w:t>测试程序问题</w:t>
      </w:r>
    </w:p>
    <w:p>
      <w:r>
        <w:t>P5旧测试在整个JSON中搜索99，随机request_id含99时会失败。受控复现中，改动只有UUID：不含99时通过，含99时失败；两次上传文字均为添加2盒牛奶，均无原始识别字段。首轮失败与诊断原样保留，未改队友测试代码。建议AI负责人按text和字段检查重写此断言，并用含99的固定ID防止回归。</w:t>
      </w:r>
    </w:p>
    <w:p>
      <w:pPr>
        <w:pStyle w:val="Heading2"/>
      </w:pPr>
      <w:r>
        <w:t>版本契约差异和未支持功能</w:t>
      </w:r>
    </w:p>
    <w:p>
      <w:r>
        <w:t>P1保留19条旧FAIL，旧Android快照网关保留18条旧FAIL。内容包括生命周期功能新增后的状态差异、候选批次表示差异，以及旧网关采购品和单位限制。完整编号、原预期、实际输出和证据行号已逐条导出；不强改正确答案，也不把安全拒绝自动算成通过。</w:t>
      </w:r>
    </w:p>
    <w:p>
      <w:r>
        <w:t>AI草稿正式确认、开封移动丢弃事务及撤销，P3规划数据接口、公开item_key续接和依据持久化仍需后端支持。P5内部来源字段不能直接加进现有公开消息体。当前隔离启动脚本默认P1，不能用它验收P2至P5。</w:t>
      </w:r>
    </w:p>
    <w:p>
      <w:pPr>
        <w:pStyle w:val="Heading2"/>
      </w:pPr>
      <w:r>
        <w:t>测试环境问题</w:t>
      </w:r>
    </w:p>
    <w:p>
      <w:r>
        <w:t>隔离副本首次漏拷部署模板，补齐同源文件后464项完整复跑通过。Android缓存复制和中文路径问题仅修复本轮适配器；临时V盘别名已解除，队友构建文件未改。Lint缺少3项Compose desktop离线依赖，保留BLOCKED，待补齐缓存后单独复跑。</w:t>
      </w:r>
    </w:p>
    <w:p>
      <w:pPr>
        <w:pStyle w:val="Heading2"/>
      </w:pPr>
      <w:r>
        <w:t>历史模型失败和样本标注</w:t>
      </w:r>
    </w:p>
    <w:p>
      <w:r>
        <w:t>P5历史模型失败p5-42-1继续保留，本轮未复测真实模型。后续先说明费用和模型版本，再单独建模型复测轮次；本轮规则通过不能消除历史模型FAIL。</w:t>
      </w:r>
    </w:p>
    <w:p>
      <w:r>
        <w:t>原150条辅助复核中148条核心标签可保留，1条漏标位置、1条意图歧义。人工确认以文件为准，未代签。创可贴快用完了仍应先澄清，未明确操作意图如何编码需由团队确认。各入口的18条REVIEW也保持原状态。</w:t>
      </w:r>
    </w:p>
    <w:p>
      <w:pPr>
        <w:pStyle w:val="Heading2"/>
      </w:pPr>
      <w:r>
        <w:t>证据定位</w:t>
      </w:r>
    </w:p>
    <w:p>
      <w:r>
        <w:t>失败清单.md便于成员阅读；results目录提供37条旧FAIL、155条旧非通过记录、84次问题逐项对照和24条专项观察。evidence目录保存原始输出、HTTP与前后状态、trace ID、JUnit、依赖清单及失败日志。无HTTP的直接对象测试明确记为空，不补造状态码。</w:t>
      </w:r>
    </w:p>
    <w:p>
      <w:r>
        <w:t>开发方P4验证器把3条契约边界记为resolved，并硬编码“含未提交P4修改”。该字段不代表本轮改了源码；以baseline.json及source-integrity.json为准。本轮报告单独保留3条原FAIL。</w:t>
      </w:r>
    </w:p>
    <w:p>
      <w:r>
        <w:br w:type="page"/>
      </w:r>
    </w:p>
    <w:p>
      <w:pPr>
        <w:pStyle w:val="Heading1"/>
      </w:pPr>
      <w:r>
        <w:t>第二批联调条件和团队交接</w:t>
      </w:r>
    </w:p>
    <w:p>
      <w:r>
        <w:t>联调待办已准备18项BLOCKED和1项样本REVIEW。每项都有数据前提、操作步骤、预期、对接人和解除阻塞条件，尚未执行的项目没有登记为通过。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515"/>
        <w:gridCol w:w="4139"/>
      </w:tblGrid>
      <w:tr>
        <w:trPr>
          <w:cantSplit/>
          <w:tblHeader/>
        </w:trPr>
        <w:tc>
          <w:tcPr>
            <w:tcW w:type="dxa" w:w="1984"/>
            <w:vAlign w:val="center"/>
            <w:shd w:fill="E7EEF5"/>
          </w:tcPr>
          <w:p>
            <w:pPr>
              <w:spacing w:before="60" w:after="60" w:line="260" w:lineRule="exact"/>
              <w:jc w:val="center"/>
            </w:pPr>
            <w:r>
              <w:rPr>
                <w:b/>
                <w:sz w:val="18"/>
              </w:rPr>
              <w:t>对接方向</w:t>
            </w:r>
          </w:p>
        </w:tc>
        <w:tc>
          <w:tcPr>
            <w:tcW w:type="dxa" w:w="3515"/>
            <w:vAlign w:val="center"/>
            <w:shd w:fill="E7EEF5"/>
          </w:tcPr>
          <w:p>
            <w:pPr>
              <w:spacing w:before="60" w:after="60" w:line="260" w:lineRule="exact"/>
              <w:jc w:val="center"/>
            </w:pPr>
            <w:r>
              <w:rPr>
                <w:b/>
                <w:sz w:val="18"/>
              </w:rPr>
              <w:t>需提供或确认</w:t>
            </w:r>
          </w:p>
        </w:tc>
        <w:tc>
          <w:tcPr>
            <w:tcW w:type="dxa" w:w="4139"/>
            <w:vAlign w:val="center"/>
            <w:shd w:fill="E7EEF5"/>
          </w:tcPr>
          <w:p>
            <w:pPr>
              <w:spacing w:before="60" w:after="60" w:line="260" w:lineRule="exact"/>
            </w:pPr>
            <w:r>
              <w:rPr>
                <w:b/>
                <w:sz w:val="18"/>
              </w:rPr>
              <w:t>后续验证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inHuman 前后端</w:t>
            </w:r>
          </w:p>
        </w:tc>
        <w:tc>
          <w:tcPr>
            <w:tcW w:type="dxa" w:w="3515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18081健康isolated_test=true；独立数据库证明、账号、家庭、部署提交号</w:t>
            </w:r>
          </w:p>
        </w:tc>
        <w:tc>
          <w:tcPr>
            <w:tcW w:type="dxa" w:w="4139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登录退出和缓存隔离；库存采购闭环；冲突与重复请求；真实PostgreSQL并发和回滚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MagicVVu AI</w:t>
            </w:r>
          </w:p>
        </w:tc>
        <w:tc>
          <w:tcPr>
            <w:tcW w:type="dxa" w:w="3515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实际运行入口、P阶段、引擎、提交号；P3与P5接口能力</w:t>
            </w:r>
          </w:p>
        </w:tc>
        <w:tc>
          <w:tcPr>
            <w:tcW w:type="dxa" w:w="4139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任务读取与澄清；草稿不写事实；P2风险和P3预测依据；P5编辑文字与超时恢复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summerdong2006-dot UI</w:t>
            </w:r>
          </w:p>
        </w:tc>
        <w:tc>
          <w:tcPr>
            <w:tcW w:type="dxa" w:w="3515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专用设备及动画可操作版本</w:t>
            </w:r>
          </w:p>
        </w:tc>
        <w:tc>
          <w:tcPr>
            <w:tcW w:type="dxa" w:w="4139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拉绳短拉取消、连续开关、离场点击、切页恢复、语音失败转手输和迟到回调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Garin 与团队</w:t>
            </w:r>
          </w:p>
        </w:tc>
        <w:tc>
          <w:tcPr>
            <w:tcW w:type="dxa" w:w="3515"/>
            <w:vAlign w:val="center"/>
          </w:tcPr>
          <w:p>
            <w:pPr>
              <w:spacing w:before="60" w:after="60" w:line="260" w:lineRule="exact"/>
              <w:jc w:val="center"/>
            </w:pPr>
            <w:r>
              <w:rPr>
                <w:b w:val="0"/>
                <w:sz w:val="18"/>
              </w:rPr>
              <w:t>人工标签和预期契约确认</w:t>
            </w:r>
          </w:p>
        </w:tc>
        <w:tc>
          <w:tcPr>
            <w:tcW w:type="dxa" w:w="4139"/>
            <w:vAlign w:val="center"/>
          </w:tcPr>
          <w:p>
            <w:pPr>
              <w:spacing w:before="60" w:after="60" w:line="260" w:lineRule="exact"/>
            </w:pPr>
            <w:r>
              <w:rPr>
                <w:b w:val="0"/>
                <w:sz w:val="18"/>
              </w:rPr>
              <w:t>保持旧FAIL与REVIEW，按新部署版本另开证据轮次</w:t>
            </w:r>
          </w:p>
        </w:tc>
      </w:tr>
    </w:tbl>
    <w:p/>
    <w:p>
      <w:pPr>
        <w:pStyle w:val="Heading2"/>
      </w:pPr>
      <w:r>
        <w:t>联调开始前的门槛</w:t>
      </w:r>
    </w:p>
    <w:p>
      <w:r>
        <w:t>先核对隔离服务、数据库与AI版本，任一隔离证明不足就停止写操作。使用专用模拟器或测试设备，不清空已有个人数据；真实行锁、事务与并发必须用独立PostgreSQL验证。源码更新后另开轮次，不把成绩混入本基线。</w:t>
      </w:r>
    </w:p>
    <w:p>
      <w:pPr>
        <w:pStyle w:val="Heading2"/>
      </w:pPr>
      <w:r>
        <w:t>交付位置与使用顺序</w:t>
      </w:r>
    </w:p>
    <w:p>
      <w:r>
        <w:t>全部成果位于：D:\Team_Project\Team-project\tests\garin\V1_分阶段验收_20261016_a251aa0</w:t>
      </w:r>
    </w:p>
    <w:p>
      <w:r>
        <w:t>先看README.md了解范围和复现方法，再看失败清单.md及联调待办.md。精确数据在results目录，原始证据从证据索引.md查找。本Word可单独发送给其他成员记录本轮工作。</w:t>
      </w:r>
    </w:p>
    <w:p>
      <w:r>
        <w:t>本轮名称建议用“Garin V1分阶段测试 第一批离线复测”。不建议命名为产品V1-P1，因为本轮覆盖P0至P5，会与AI成员的P1生命周期版本混淆。</w:t>
      </w:r>
    </w:p>
    <w:p>
      <w:pPr>
        <w:pStyle w:val="Heading2"/>
      </w:pPr>
      <w:r>
        <w:t>本轮交接结论</w:t>
      </w:r>
    </w:p>
    <w:p>
      <w:r>
        <w:t>离线可执行部分已有实测结果和可追溯证据；Lint与正式链路条件不足，仍保留待办。未进行Git提交或推送，未代签人工复核，未修改队友负责的文件。下一批按隔离环境实际部署版本继续，补齐App和数据库闭环后再作正式验收结论。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  <w:snapToGrid w:val="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300" w:lineRule="exact"/>
      <w:snapToGrid w:val="0"/>
    </w:pPr>
    <w:rPr>
      <w:rFonts w:ascii="Microsoft YaHei" w:hAnsi="Microsoft YaHe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300" w:lineRule="exact"/>
      <w:snapToGrid w:val="0"/>
    </w:pPr>
    <w:rPr>
      <w:rFonts w:ascii="Microsoft YaHei" w:hAnsi="Microsoft YaHe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30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30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exact"/>
      <w:outlineLvl w:val="2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300" w:lineRule="exact"/>
      <w:outlineLvl w:val="3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300" w:lineRule="exact"/>
      <w:outlineLvl w:val="4"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300" w:lineRule="exact"/>
      <w:outlineLvl w:val="5"/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300" w:lineRule="exact"/>
      <w:outlineLvl w:val="6"/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300" w:lineRule="exact"/>
      <w:outlineLvl w:val="7"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300" w:lineRule="exact"/>
      <w:outlineLvl w:val="8"/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300" w:lineRule="exact"/>
      <w:snapToGrid w:val="0"/>
    </w:pPr>
    <w:rPr>
      <w:rFonts w:ascii="Microsoft YaHei" w:hAnsi="Microsoft YaHei" w:eastAsia="Microsoft YaHe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300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300" w:lineRule="exact"/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00" w:line="300" w:lineRule="exact"/>
      <w:ind w:left="720"/>
      <w:contextualSpacing/>
      <w:snapToGrid w:val="0"/>
    </w:pPr>
    <w:rPr>
      <w:rFonts w:ascii="Microsoft YaHei" w:hAnsi="Microsoft YaHei" w:eastAsia="Microsoft YaHe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300" w:lineRule="exact"/>
      <w:snapToGrid w:val="0"/>
    </w:pPr>
    <w:rPr>
      <w:rFonts w:ascii="Microsoft YaHei" w:hAnsi="Microsoft YaHei" w:eastAsia="Microsoft YaHei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300" w:lineRule="exact"/>
      <w:snapToGrid w:val="0"/>
    </w:pPr>
    <w:rPr>
      <w:rFonts w:ascii="Microsoft YaHei" w:hAnsi="Microsoft YaHei" w:eastAsia="Microsoft YaHe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300" w:lineRule="exact"/>
      <w:snapToGrid w:val="0"/>
    </w:pPr>
    <w:rPr>
      <w:rFonts w:ascii="Microsoft YaHei" w:hAnsi="Microsoft YaHei" w:eastAsia="Microsoft YaHe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00" w:line="300" w:lineRule="exact"/>
      <w:ind w:left="360" w:hanging="360"/>
      <w:contextualSpacing/>
      <w:snapToGrid w:val="0"/>
    </w:pPr>
    <w:rPr>
      <w:rFonts w:ascii="Microsoft YaHei" w:hAnsi="Microsoft YaHei" w:eastAsia="Microsoft YaHe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spacing w:after="100" w:line="300" w:lineRule="exact"/>
      <w:ind w:left="720" w:hanging="360"/>
      <w:contextualSpacing/>
      <w:snapToGrid w:val="0"/>
    </w:pPr>
    <w:rPr>
      <w:rFonts w:ascii="Microsoft YaHei" w:hAnsi="Microsoft YaHei" w:eastAsia="Microsoft YaHe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spacing w:after="100" w:line="300" w:lineRule="exact"/>
      <w:ind w:left="1080" w:hanging="360"/>
      <w:contextualSpacing/>
      <w:snapToGrid w:val="0"/>
    </w:pPr>
    <w:rPr>
      <w:rFonts w:ascii="Microsoft YaHei" w:hAnsi="Microsoft YaHei" w:eastAsia="Microsoft YaHe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00" w:lineRule="exact"/>
      <w:contextualSpacing/>
      <w:snapToGrid w:val="0"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300" w:lineRule="exact"/>
      <w:contextualSpacing/>
      <w:snapToGrid w:val="0"/>
    </w:pPr>
    <w:rPr>
      <w:rFonts w:ascii="Microsoft YaHei" w:hAnsi="Microsoft YaHei" w:eastAsia="Microsoft YaHe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00" w:line="300" w:lineRule="exact"/>
      <w:contextualSpacing/>
      <w:snapToGrid w:val="0"/>
    </w:pPr>
    <w:rPr>
      <w:rFonts w:ascii="Microsoft YaHei" w:hAnsi="Microsoft YaHei" w:eastAsia="Microsoft YaHe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300" w:lineRule="exact"/>
      <w:contextualSpacing/>
      <w:snapToGrid w:val="0"/>
    </w:pPr>
    <w:rPr>
      <w:rFonts w:ascii="Microsoft YaHei" w:hAnsi="Microsoft YaHei" w:eastAsia="Microsoft YaHe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00" w:line="300" w:lineRule="exact"/>
      <w:contextualSpacing/>
      <w:snapToGrid w:val="0"/>
    </w:pPr>
    <w:rPr>
      <w:rFonts w:ascii="Microsoft YaHei" w:hAnsi="Microsoft YaHei" w:eastAsia="Microsoft YaHe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00" w:line="300" w:lineRule="exact"/>
      <w:contextualSpacing/>
      <w:snapToGrid w:val="0"/>
    </w:pPr>
    <w:rPr>
      <w:rFonts w:ascii="Microsoft YaHei" w:hAnsi="Microsoft YaHei" w:eastAsia="Microsoft YaHe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300" w:lineRule="exact"/>
      <w:ind w:left="360"/>
      <w:contextualSpacing/>
      <w:snapToGrid w:val="0"/>
    </w:pPr>
    <w:rPr>
      <w:rFonts w:ascii="Microsoft YaHei" w:hAnsi="Microsoft YaHei" w:eastAsia="Microsoft YaHe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300" w:lineRule="exact"/>
      <w:ind w:left="720"/>
      <w:contextualSpacing/>
      <w:snapToGrid w:val="0"/>
    </w:pPr>
    <w:rPr>
      <w:rFonts w:ascii="Microsoft YaHei" w:hAnsi="Microsoft YaHei" w:eastAsia="Microsoft YaHe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300" w:lineRule="exact"/>
      <w:ind w:left="1080"/>
      <w:contextualSpacing/>
      <w:snapToGrid w:val="0"/>
    </w:pPr>
    <w:rPr>
      <w:rFonts w:ascii="Microsoft YaHei" w:hAnsi="Microsoft YaHei" w:eastAsia="Microsoft YaHe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00" w:line="300" w:lineRule="exact"/>
      <w:snapToGrid w:val="0"/>
    </w:pPr>
    <w:rPr>
      <w:rFonts w:ascii="Microsoft YaHei" w:hAnsi="Microsoft YaHei" w:eastAsia="Microsoft YaHe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00" w:line="300" w:lineRule="exact"/>
      <w:snapToGrid w:val="0"/>
    </w:pPr>
    <w:rPr>
      <w:rFonts w:ascii="Microsoft YaHei" w:hAnsi="Microsoft YaHei" w:eastAsia="Microsoft YaHe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exact" w:after="100"/>
      <w:snapToGrid w:val="0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300" w:lineRule="exact"/>
      <w:ind w:left="936" w:right="936"/>
      <w:snapToGrid w:val="0"/>
    </w:pPr>
    <w:rPr>
      <w:rFonts w:ascii="Microsoft YaHei" w:hAnsi="Microsoft YaHei" w:eastAsia="Microsoft YaHe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00" w:line="300" w:lineRule="exact"/>
      <w:outlineLvl w:val="9"/>
      <w:snapToGrid w:val="0"/>
    </w:pPr>
    <w:rPr>
      <w:rFonts w:ascii="Microsoft YaHei" w:hAnsi="Microsoft YaHei" w:eastAsia="Microsoft YaHe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Garin V1 分阶段测试工作记录</dc:title>
  <dc:subject>2026年10月16日第一批离线复测与联调待办</dc:subject>
  <dc:creator>garin-cyber 测试工作记录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