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AI后端配置契约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阅读对象：后端开发与部署负责人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请在现有部署中为 AI 进程注入原有内部认证配置，并显式加载已保存的 DeepSeek 密钥和模型选择。本契约属于 V1-P6.1，只约定运行配置与验证方式；继续使用现有数据库网关和 P6 业务协议。密钥已保存，正式启动及在线有效性验证尚未完成。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阶段 V1-P6.1   AI入口 v1.app:create_app   业务版本 0.6.0</w:t>
      </w:r>
    </w:p>
    <w:p>
      <w:pPr>
        <w:pStyle w:val="Heading1"/>
      </w:pPr>
      <w:r>
        <w:t>1 运行变量与配置责任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4479"/>
        <w:gridCol w:w="1701"/>
      </w:tblGrid>
      <w:tr>
        <w:trPr>
          <w:cantSplit/>
          <w:tblHeader/>
        </w:trPr>
        <w:tc>
          <w:tcPr>
            <w:tcW w:type="dxa" w:w="345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变量</w:t>
            </w:r>
          </w:p>
        </w:tc>
        <w:tc>
          <w:tcPr>
            <w:tcW w:type="dxa" w:w="4479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配置要求</w:t>
            </w:r>
          </w:p>
        </w:tc>
        <w:tc>
          <w:tcPr>
            <w:tcW w:type="dxa" w:w="170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负责方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DEEPSEEK_API_KEY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实际供应商密钥；已由用户隐藏输入保存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密钥持有人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P3_ENGINE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明确设置为 deepseek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部署方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LLM_MODEL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当前配置为 deepseek-flash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部署方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AI_SERVICE_TOKEN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使用原有业务服务到 AI 的认证令牌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后端部署方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BACKEND_TOOL_TOKEN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使用原有 AI 到内部只读工具的认证令牌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后端部署方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BACKEND_BASE_URL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当前运行网络内可达的真实后端地址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后端部署方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主机启动工具会在未指定后端地址时补为 http://127.0.0.1:8000。这是主机侧默认值；容器部署须保留其实际后端地址，不能据此推断容器网络已可用。</w:t>
      </w:r>
    </w:p>
    <w:p>
      <w:pPr>
        <w:pStyle w:val="Heading1"/>
      </w:pPr>
      <w:r>
        <w:t>2 身份与令牌用途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用户端继续使用业务后端的用户身份认证。内部 AI 令牌和供应商密钥不下发到 Android 或其他客户端。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业务后端调用 AI 时使用 AI_SERVICE_TOKEN，并传入可信 X-User-Id 与 X-Household-Id。用户自行提交的身份头不得直接作为可信上下文。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AI 调用内部只读工具时使用 BACKEND_TOOL_TOKEN，并传递同一作用域；后端工具继续验证家庭权限。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DEEPSEEK_API_KEY 只用于 AI 服务向供应商发起模型请求。上述密钥和令牌不能相互替代。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本次不会重新生成或覆盖业务令牌。只应由掌握现有部署配置的负责人注入原值，避免认证双方不一致。</w:t>
      </w:r>
    </w:p>
    <w:p>
      <w:pPr>
        <w:pStyle w:val="Heading1"/>
        <w:pageBreakBefore/>
      </w:pPr>
      <w:r>
        <w:t>3 主机侧配置与启动方式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服务器代码位于 ~/workspace/agent，私有文件为该目录内的 .env.runtime，权限 0600。后端负责人通过现有受控部署方式注入两项认证令牌和后端地址，不把令牌写入聊天、共享文档或命令行参数。</w:t>
      </w:r>
    </w:p>
    <w:p>
      <w:pPr>
        <w:pStyle w:val="Heading2"/>
      </w:pPr>
      <w:r>
        <w:t>3 1 检查与更换供应商密钥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cd ~/workspace/agent</w:t>
        <w:br/>
        <w:t>.venv-p2/bin/python -B -m integration.runtime_config status</w:t>
      </w:r>
    </w:p>
    <w:p>
      <w:r>
        <w:rPr>
          <w:rFonts w:ascii="Calibri" w:hAnsi="Calibri" w:eastAsia="Microsoft YaHei"/>
          <w:b w:val="0"/>
          <w:color w:val="000000"/>
          <w:sz w:val="22"/>
        </w:rPr>
        <w:t>如需更换密钥，由持有人在自己的交互式 SSH 终端执行下列命令并隐藏输入两次。当前密钥已保存，无需重复录入。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.venv-p2/bin/python -B -m integration.runtime_config set-key</w:t>
      </w:r>
    </w:p>
    <w:p>
      <w:pPr>
        <w:pStyle w:val="Heading2"/>
      </w:pPr>
      <w:r>
        <w:t>3 2 加载规则与启动边界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主机工具先继承进程环境，再以私有文件中的非空值覆盖同名变量。文件内空值不会覆盖已有非空环境值；因此，不应在私有文件中遗留需要由部署环境更新的旧令牌或旧地址。配置数据不会进行 shell 求值或变量插值。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当部署方已注入全部必需配置，并完成实际发布安排后，可使用以下前台命令。此处给出操作方法，本次文档制作没有执行启动。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cd ~/workspace/agent</w:t>
        <w:br/>
        <w:t>.venv-p2/bin/python -B -m integration.runtime_config run</w:t>
      </w:r>
    </w:p>
    <w:p>
      <w:r>
        <w:rPr>
          <w:rFonts w:ascii="Calibri" w:hAnsi="Calibri" w:eastAsia="Microsoft YaHei"/>
          <w:b w:val="0"/>
          <w:color w:val="000000"/>
          <w:sz w:val="22"/>
        </w:rPr>
        <w:t>run 启动 v1.app:create_app，仅监听 127.0.0.1:8767，不后台驻留。缺少密钥、任一内部令牌或后端地址时拒绝启动；引擎或模型与当前配置不符时也拒绝。正式生命周期仍由既有部署系统管理。</w:t>
      </w:r>
    </w:p>
    <w:p>
      <w:pPr>
        <w:pStyle w:val="Heading2"/>
      </w:pPr>
      <w:r>
        <w:t>3 3 状态字段的准确含义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2"/>
        <w:gridCol w:w="5726"/>
      </w:tblGrid>
      <w:tr>
        <w:trPr>
          <w:cantSplit/>
          <w:tblHeader/>
        </w:trPr>
        <w:tc>
          <w:tcPr>
            <w:tcW w:type="dxa" w:w="391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5726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可以据此判断的内容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provider_key_present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配置中是否存在非空供应商密钥，不代表供应商已认可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service_ready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所需四个配置项是否非空，不保证网络、权限或业务可用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services_started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status 固定返回 false，不能用于监控其他进程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provider_key_validated_online</w:t>
            </w:r>
          </w:p>
        </w:tc>
        <w:tc>
          <w:tcPr>
            <w:tcW w:type="dxa" w:w="572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status 固定返回 false，工具未发起在线验证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直接使用原 uvicorn 命令不会自动读取 .env.runtime。若继续采用已有进程管理器，必须由该管理器显式加载同等环境配置。</w:t>
      </w:r>
    </w:p>
    <w:p>
      <w:pPr>
        <w:pStyle w:val="Heading1"/>
        <w:pageBreakBefore/>
      </w:pPr>
      <w:r>
        <w:t>4 既有容器部署的配置约定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本地 deploy/compose.ai-model-env.override.yaml 仅是覆盖片段，尚未与正式 Compose 合并或应用。部署负责人应对照真实服务名、启动命令、环境和网络配置采用它，不把片段作为独立部署文件运行。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9"/>
        </w:rPr>
        <w:t>services:</w:t>
        <w:br/>
        <w:t xml:space="preserve">  agent:</w:t>
        <w:br/>
        <w:t xml:space="preserve">    env_file:</w:t>
        <w:br/>
        <w:t xml:space="preserve">      - /home/magicvvu_ai/workspace/agent/.env.runtime</w:t>
        <w:br/>
        <w:t xml:space="preserve">    environment:</w:t>
        <w:br/>
        <w:t xml:space="preserve">      P3_ENGINE: deepseek</w:t>
      </w:r>
    </w:p>
    <w:p>
      <w:r>
        <w:rPr>
          <w:rFonts w:ascii="Calibri" w:hAnsi="Calibri" w:eastAsia="Microsoft YaHei"/>
          <w:b w:val="0"/>
          <w:color w:val="000000"/>
          <w:sz w:val="22"/>
        </w:rPr>
        <w:t>若实际服务名不是 agent，应使用真实服务名。上述路径是宿主机上的环境文件路径，不表示要把私有文件复制进镜像。授权部署账号须能读取该文件；若权限不匹配，可由既有密钥机制注入同等变量，不把文件改为所有账号可读。</w:t>
      </w:r>
    </w:p>
    <w:p>
      <w:pPr>
        <w:pStyle w:val="Heading2"/>
      </w:pPr>
      <w:r>
        <w:t>4 1 合并时必须核对的项目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保留现有 AI_SERVICE_TOKEN、BACKEND_TOOL_TOKEN、BACKEND_BASE_URL、网络和累计预算账本卷；不重新创建令牌，不重置账本。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Compose 的显式 environment 项优先于 env_file。旧配置中的空 DEEPSEEK_API_KEY、旧 LLM_MODEL 或 rules 引擎可能覆盖文件值，应检查实际进程生效值。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保留容器实际可达的后端服务地址。http://backend:8000 仅可作为网络示例，未经现场核实不能当作正式地址；容器内 localhost 指向容器自身。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显式使用已有 P6 入口 v1.app:create_app。配置片段只传环境变量，不会自行切换错误入口，也不会安排服务重启。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检查生效配置时只输出变量是否存在及非敏感的模型选择。避免把完整环境、完整 Compose 展开结果、私有文件内容或认证请求头写入日志和截图。</w:t>
      </w:r>
    </w:p>
    <w:p>
      <w:pPr>
        <w:pStyle w:val="Heading1"/>
      </w:pPr>
      <w:r>
        <w:t>5 业务接口与网关兼容约定</w:t>
      </w:r>
    </w:p>
    <w:p>
      <w:r>
        <w:rPr>
          <w:rFonts w:ascii="Calibri" w:hAnsi="Calibri" w:eastAsia="Microsoft YaHei"/>
          <w:b w:val="0"/>
          <w:color w:val="000000"/>
          <w:sz w:val="22"/>
        </w:rPr>
        <w:t>V1-P6.1 没有新增路由、请求字段、结果状态或澄清协议。/agent/message、/agent/clarification 及其他 P6 业务接口仍按既有 OpenAPI 工作，保留 trace_id；AI 仍只读事实并生成待确认草稿。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公开任务协议、任务存储、最新修订管理、确认写入及撤销仍由现有业务后端负责。数据库网关不改动。规划事实与提交凭证读取的预留模块继续按 P6 契约处理，本次配置完成不表示这些模块已实现。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内部业务接口需要 Bearer 服务认证及可信用户和家庭头；现有代码在令牌错误或身份头缺失时返回 401。/health 是进程与配置检查，不能证明供应商密钥有效、家庭权限正确或端到端业务已验收。</w:t>
      </w:r>
    </w:p>
    <w:p>
      <w:pPr>
        <w:pStyle w:val="Heading1"/>
        <w:pageBreakBefore/>
      </w:pPr>
      <w:r>
        <w:t>6 后端协同验收步骤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请按下列顺序逐项留存结果。检查应在团队约定的测试家庭和测试库存中完成，禁止将草稿成功当作数据库确认成功。涉及密钥的记录只保存布尔状态及脱敏错误。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762"/>
        <w:gridCol w:w="3402"/>
      </w:tblGrid>
      <w:tr>
        <w:trPr>
          <w:cantSplit/>
          <w:tblHeader/>
        </w:trPr>
        <w:tc>
          <w:tcPr>
            <w:tcW w:type="dxa" w:w="147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步骤</w:t>
            </w:r>
          </w:p>
        </w:tc>
        <w:tc>
          <w:tcPr>
            <w:tcW w:type="dxa" w:w="476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后端需要完成的验证</w:t>
            </w:r>
          </w:p>
        </w:tc>
        <w:tc>
          <w:tcPr>
            <w:tcW w:type="dxa" w:w="340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通过依据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 配置核对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注入原有两项内部令牌及正确地址；加载密钥与模型变量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实际 AI 进程变量非空且模型选择正确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 进程检查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按已有发布流程启动所需 P6 入口，检查健康接口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版本 0.6.0 或 P6 标识，engine=deepseek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 内部认证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检查正确认证可达，错误令牌或缺身份头被拒绝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正向读取正常；反向请求为 401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 工具与隔离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在测试家庭读取真实库存，核对跨家庭访问限制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事实与权限符合真实工具结果，无串家庭数据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 供应商验证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选取会实际调用模型的单物品输入并记录调用结果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模型请求成功；不能用零模型规则路径代替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 业务核验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核对草稿字段、澄清续接及既有确认和撤销事务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 草稿未写入；业务提交与事件证据一致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模型验证失败时，保留脱敏错误和原文恢复信息；本工具不会自动重试或轮换密钥。缺少规划事实或提交凭证模块时，保留 P6 的明确不可用结果，不能用假数据把验收记为通过。</w:t>
      </w:r>
    </w:p>
    <w:p>
      <w:pPr>
        <w:pStyle w:val="Heading1"/>
      </w:pPr>
      <w:r>
        <w:t>7 当前交接状态与未完成项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截至 2026年10月16日，私有密钥已保存、权限和工具检查通过；本次可检查的 AI 环境中两项内部令牌未注入，service_ready=false。我们没有构建、重启或切换正式服务，没有执行供应商在线验证。该状态不能推断正式后端本身是否已有令牌。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服务启动、模型成功调用、真实数据隔离和正式确认事务需要部署及后端侧分别记录。AI配置完成、模型可用、联合验收通过属于不同结论。</w:t>
      </w:r>
    </w:p>
    <w:p>
      <w:pPr>
        <w:pStyle w:val="Heading1"/>
      </w:pPr>
      <w:r>
        <w:t>8 后续维护与配置回退</w:t>
      </w:r>
    </w:p>
    <w:p>
      <w:r>
        <w:rPr>
          <w:rFonts w:ascii="Calibri" w:hAnsi="Calibri" w:eastAsia="Microsoft YaHei"/>
          <w:b w:val="0"/>
          <w:color w:val="000000"/>
          <w:sz w:val="22"/>
        </w:rPr>
        <w:t>更换供应商密钥时，由持有人重新执行 set-key，再由部署负责人按既有流程使新环境生效；文件更新不会自动改变运行中进程。保留原有内部令牌，不将密钥放入 Git 或文档。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若需要回退，由部署负责人恢复本次之前的 AI 环境和入口配置，并使用原部署流程重启 AI 服务。回退范围限于 AI 配置；不回退数据库、不修改数据库网关、不删除累计预算账本。本次尚未正式部署，不存在已执行的生产回退。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查阅依据：本阶段 model-runtime-configuration.md 与部署覆盖片段；业务字段以 ../V1-P6/ai-contract.md 和 ../V1-P6/ai-openapi.json 为准。本契约不包含任何真实密钥或内部令牌。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P6 1   AI后端配置契约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AI后端配置契约</dc:title>
  <dc:subject>V1-P6.1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