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单模型基线测试工作记录</w:t>
      </w:r>
    </w:p>
    <w:p>
      <w:r>
        <w:t>2026年10月29日　工作归属 garin-cyber　供 AI 与前后端成员交接</w:t>
      </w:r>
    </w:p>
    <w:p>
      <w:r>
        <w:t>本轮正式计划1200轮，实际已有1200轮记录，另有0轮未执行。Jev未启用；P8.4当前默认链路与P8.5独立实现分别统计。真实模型批次启用DeepSeek，明确控制路径可以零调用；离线流程检查另列。</w:t>
      </w:r>
    </w:p>
    <w:p>
      <w:r>
        <w:t>本轮发现真实语义失败，也发现旧评分遗漏的计算问题和部分新标注前提问题。因此不能只用旧评测的高通过率宣布全部功能正确。</w:t>
      </w:r>
    </w:p>
    <w:p>
      <w:r>
        <w:t>源码固定为3f007ba。使用隔离副本、合成家庭和内存库存，未连接业务服务器或真实用户数据库，也未修改队友源码。人工样本复核仍为pending，没有代签。</w:t>
      </w:r>
    </w:p>
    <w:p>
      <w:r>
        <w:t>业务测试时钟固定为10月15日10时，日期预期按该时钟计算；真实调用和计费使用10月29日实际时间。历史测试包未因本轮新基线自动全部完成真实模型复测。</w:t>
      </w:r>
    </w:p>
    <w:p>
      <w:pPr>
        <w:pStyle w:val="Heading1"/>
      </w:pPr>
      <w:r>
        <w:t>正式批次执行情况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3D3"/>
          <w:left w:val="single" w:sz="4" w:color="D3D3D3"/>
          <w:bottom w:val="single" w:sz="4" w:color="D3D3D3"/>
          <w:right w:val="single" w:sz="4" w:color="D3D3D3"/>
          <w:insideH w:val="single" w:sz="4" w:color="D3D3D3"/>
          <w:insideV w:val="single" w:sz="4" w:color="D3D3D3"/>
        </w:tblBorders>
      </w:tblPr>
      <w:tblGrid>
        <w:gridCol w:w="3175"/>
        <w:gridCol w:w="2721"/>
        <w:gridCol w:w="1304"/>
        <w:gridCol w:w="2438"/>
      </w:tblGrid>
      <w:tr>
        <w:trPr>
          <w:cantSplit/>
          <w:tblHeader/>
        </w:trPr>
        <w:tc>
          <w:tcPr>
            <w:tcW w:type="dxa" w:w="3175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批次</w:t>
            </w:r>
          </w:p>
        </w:tc>
        <w:tc>
          <w:tcPr>
            <w:tcW w:type="dxa" w:w="2721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通过 失败 待复核</w:t>
            </w:r>
          </w:p>
        </w:tc>
        <w:tc>
          <w:tcPr>
            <w:tcW w:type="dxa" w:w="1304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HTTP次数</w:t>
            </w:r>
          </w:p>
        </w:tc>
        <w:tc>
          <w:tcPr>
            <w:tcW w:type="dxa" w:w="2438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自动评分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P8.4 旧回归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237 / 3 / 0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98.75%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P8.5 六轮回归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238 / 2 / 0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99.17%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新增单轮 第1遍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100 / 16 / 4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86.21%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新增六轮 第1遍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117 / 3 / 0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97.50%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新增单轮 第2遍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96 / 20 / 4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82.76%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新增六轮 第2遍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119 / 1 / 0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99.17%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新增单轮 第3遍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97 / 19 / 4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83.62%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新增六轮 第3遍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118 / 2 / 0</w:t>
            </w:r>
          </w:p>
        </w:tc>
        <w:tc>
          <w:tcPr>
            <w:tcW w:type="dxa" w:w="130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199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98.33%</w:t>
            </w:r>
          </w:p>
        </w:tc>
      </w:tr>
    </w:tbl>
    <w:p/>
    <w:p>
      <w:r>
        <w:t>自动评分的分母为已执行PASS和FAIL，REVIEW另列。旧回归保留原评分，其通过率不能视为所有字段和计算均正确；第二页列出独立补充核对。新增用例重复三次仍只有240轮独立输入。</w:t>
      </w:r>
    </w:p>
    <w:p>
      <w:r>
        <w:t>含小批量检查的实际HTTP请求共1965次。本轮新增保守费用4.534698元，上限5元，费用保护核对通过。供应商账单尚未核对。</w:t>
      </w:r>
    </w:p>
    <w:p>
      <w:r>
        <w:br w:type="page"/>
      </w:r>
    </w:p>
    <w:p>
      <w:pPr>
        <w:pStyle w:val="Heading1"/>
      </w:pPr>
      <w:r>
        <w:t>正确性和评分证据</w:t>
      </w:r>
    </w:p>
    <w:p>
      <w:r>
        <w:t>每条新用例保存原文、虚拟库存、上下文、原预期、模型原始响应、解析结果、最终结果和逐项断言。新增写入草稿核对动作、对象、数量、单位、版本、日期和位置；查询核对资料和计算依据。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3D3"/>
          <w:left w:val="single" w:sz="4" w:color="D3D3D3"/>
          <w:bottom w:val="single" w:sz="4" w:color="D3D3D3"/>
          <w:right w:val="single" w:sz="4" w:color="D3D3D3"/>
          <w:insideH w:val="single" w:sz="4" w:color="D3D3D3"/>
          <w:insideV w:val="single" w:sz="4" w:color="D3D3D3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检查角度</w:t>
            </w:r>
          </w:p>
        </w:tc>
        <w:tc>
          <w:tcPr>
            <w:tcW w:type="dxa" w:w="7824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实际口径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单轮与多轮</w:t>
            </w:r>
          </w:p>
        </w:tc>
        <w:tc>
          <w:tcPr>
            <w:tcW w:type="dxa" w:w="782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单轮逐项满足预期才通过；完整多轮场景要求全部轮次通过。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模型与保护机制</w:t>
            </w:r>
          </w:p>
        </w:tc>
        <w:tc>
          <w:tcPr>
            <w:tcW w:type="dxa" w:w="782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原始理解输出与最终草稿分别保存；模型提议错误而规则拦截时保留两层证据。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澄清</w:t>
            </w:r>
          </w:p>
        </w:tc>
        <w:tc>
          <w:tcPr>
            <w:tcW w:type="dxa" w:w="782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应问未问和多余询问分别统计；多余询问是自动代理指标，仍需人工确认。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失败与争议</w:t>
            </w:r>
          </w:p>
        </w:tc>
        <w:tc>
          <w:tcPr>
            <w:tcW w:type="dxa" w:w="782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超时、格式错误等已执行异常保留；有争议的标注列REVIEW，不自动改成PASS。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置信区间</w:t>
            </w:r>
          </w:p>
        </w:tc>
        <w:tc>
          <w:tcPr>
            <w:tcW w:type="dxa" w:w="782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按场景组进行10000次bootstrap，固定随机种子；重复表达不当作独立真人样本。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3D3"/>
          <w:left w:val="single" w:sz="4" w:color="D3D3D3"/>
          <w:bottom w:val="single" w:sz="4" w:color="D3D3D3"/>
          <w:right w:val="single" w:sz="4" w:color="D3D3D3"/>
          <w:insideH w:val="single" w:sz="4" w:color="D3D3D3"/>
          <w:insideV w:val="single" w:sz="4" w:color="D3D3D3"/>
        </w:tblBorders>
      </w:tblPr>
      <w:tblGrid>
        <w:gridCol w:w="3515"/>
        <w:gridCol w:w="1474"/>
        <w:gridCol w:w="1587"/>
        <w:gridCol w:w="3061"/>
      </w:tblGrid>
      <w:tr>
        <w:trPr>
          <w:cantSplit/>
          <w:tblHeader/>
        </w:trPr>
        <w:tc>
          <w:tcPr>
            <w:tcW w:type="dxa" w:w="3515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旧评测补充审核</w:t>
            </w:r>
          </w:p>
        </w:tc>
        <w:tc>
          <w:tcPr>
            <w:tcW w:type="dxa" w:w="1474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覆盖条数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补充通过</w:t>
            </w:r>
          </w:p>
        </w:tc>
        <w:tc>
          <w:tcPr>
            <w:tcW w:type="dxa" w:w="3061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旧PASS但补充失败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P8.4 旧回归</w:t>
            </w:r>
          </w:p>
        </w:tc>
        <w:tc>
          <w:tcPr>
            <w:tcW w:type="dxa" w:w="147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587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19</w:t>
            </w:r>
          </w:p>
        </w:tc>
      </w:tr>
    </w:tbl>
    <w:p/>
    <w:p>
      <w:r>
        <w:t>补充审核不覆盖所有旧场景的完整语义；原始成绩不覆盖写回。不能把“生成了草稿”或“没有修改库存”单独作为正确的充分条件。</w:t>
      </w:r>
    </w:p>
    <w:p>
      <w:r>
        <w:t>完成三次重复记录的用例240条；三次均通过208条；业务语义输出一致179条。比较时去除随机ID和自然连接语，逐条状态及耗时保留。</w:t>
      </w:r>
    </w:p>
    <w:p>
      <w:r>
        <w:t>本轮数据均为合成样本。旧保留集已被开发消费，按回归集解释。新增集在首次模型调用前冻结，未根据模型失败调整提示词；沿用项目类别，不能据此认定对真实用户的泛化效果。</w:t>
      </w:r>
    </w:p>
    <w:p>
      <w:r>
        <w:br w:type="page"/>
      </w:r>
    </w:p>
    <w:p>
      <w:pPr>
        <w:pStyle w:val="Heading1"/>
      </w:pPr>
      <w:r>
        <w:t>耗时调用和费用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3D3"/>
          <w:left w:val="single" w:sz="4" w:color="D3D3D3"/>
          <w:bottom w:val="single" w:sz="4" w:color="D3D3D3"/>
          <w:right w:val="single" w:sz="4" w:color="D3D3D3"/>
          <w:insideH w:val="single" w:sz="4" w:color="D3D3D3"/>
          <w:insideV w:val="single" w:sz="4" w:color="D3D3D3"/>
        </w:tblBorders>
      </w:tblPr>
      <w:tblGrid>
        <w:gridCol w:w="3061"/>
        <w:gridCol w:w="1191"/>
        <w:gridCol w:w="1191"/>
        <w:gridCol w:w="1020"/>
        <w:gridCol w:w="1361"/>
        <w:gridCol w:w="1814"/>
      </w:tblGrid>
      <w:tr>
        <w:trPr>
          <w:cantSplit/>
          <w:tblHeader/>
        </w:trPr>
        <w:tc>
          <w:tcPr>
            <w:tcW w:type="dxa" w:w="3061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批次</w:t>
            </w:r>
          </w:p>
        </w:tc>
        <w:tc>
          <w:tcPr>
            <w:tcW w:type="dxa" w:w="1191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均值 秒</w:t>
            </w:r>
          </w:p>
        </w:tc>
        <w:tc>
          <w:tcPr>
            <w:tcW w:type="dxa" w:w="1191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P95 秒</w:t>
            </w:r>
          </w:p>
        </w:tc>
        <w:tc>
          <w:tcPr>
            <w:tcW w:type="dxa" w:w="1020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type="dxa" w:w="1361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零调用轮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用量估算 元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P8.4 旧回归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1.866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2.918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0.175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P8.5 六轮回归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1.529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3.094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0.157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新增单轮 第1遍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2.234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2.865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0.137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新增六轮 第1遍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2.112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3.275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0.179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新增单轮 第2遍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2.266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3.049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0.092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新增六轮 第2遍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2.065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3.275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0.174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新增单轮 第3遍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2.238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2.860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0.091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新增六轮 第3遍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2.097</w:t>
            </w:r>
          </w:p>
        </w:tc>
        <w:tc>
          <w:tcPr>
            <w:tcW w:type="dxa" w:w="119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3.276</w:t>
            </w:r>
          </w:p>
        </w:tc>
        <w:tc>
          <w:tcPr>
            <w:tcW w:type="dxa" w:w="1020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199</w:t>
            </w:r>
          </w:p>
        </w:tc>
        <w:tc>
          <w:tcPr>
            <w:tcW w:type="dxa" w:w="136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0.174</w:t>
            </w:r>
          </w:p>
        </w:tc>
      </w:tr>
    </w:tbl>
    <w:p/>
    <w:p>
      <w:r>
        <w:t>耗时包括理解、只读计算和表达，不包含手机网络、业务数据库保存或页面渲染。记录工具的少量开销未扣除；单请求与各阶段耗时另见summary.json。非流式请求不报告首字耗时。</w:t>
      </w:r>
    </w:p>
    <w:p>
      <w:r>
        <w:t>实际HTTP请求数包含失败请求，与程序阶段计数区分。超时、限流、空回复、格式错误及备用表达均单独统计；没有自动付费重试。</w:t>
      </w:r>
    </w:p>
    <w:p>
      <w:r>
        <w:t>价格按2026年10月29日官方页面复核。峰时每百万Token：缓存命中输入0.04元、未命中输入2元、输出8元；空闲时段为一半。本地预算始终按峰时未命中保守结算，未知用量保持预留。报告按缓存和时段给出用量估算；缺字段或跨时段不伪造精确费用。</w:t>
      </w:r>
    </w:p>
    <w:p>
      <w:r>
        <w:t>官方价格来源 https://api-docs.deepseek.com/zh-cn/quick_start/pricing/</w:t>
      </w:r>
    </w:p>
    <w:p>
      <w:r>
        <w:t>请求和响应的模型名逐条保存。若服务只返回deepseek-flash别名，不能声称获得了不可变的内部构建版本；官方页面对应版本与实际响应字段分开记录。模型参数与原程序一致，未指定的采样参数标记为供应商默认。</w:t>
      </w:r>
    </w:p>
    <w:p>
      <w:r>
        <w:t>小批量检查单独统计，正式重复批次也不混成一个独立样本总分。按用量成本、保守预算和供应商实扣三种口径分别保留。</w:t>
      </w:r>
    </w:p>
    <w:p>
      <w:r>
        <w:br w:type="page"/>
      </w:r>
    </w:p>
    <w:p>
      <w:pPr>
        <w:pStyle w:val="Heading1"/>
      </w:pPr>
      <w:r>
        <w:t>问题交接与复测要求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3D3"/>
          <w:left w:val="single" w:sz="4" w:color="D3D3D3"/>
          <w:bottom w:val="single" w:sz="4" w:color="D3D3D3"/>
          <w:right w:val="single" w:sz="4" w:color="D3D3D3"/>
          <w:insideH w:val="single" w:sz="4" w:color="D3D3D3"/>
          <w:insideV w:val="single" w:sz="4" w:color="D3D3D3"/>
        </w:tblBorders>
      </w:tblPr>
      <w:tblGrid>
        <w:gridCol w:w="7937"/>
        <w:gridCol w:w="1701"/>
      </w:tblGrid>
      <w:tr>
        <w:trPr>
          <w:cantSplit/>
          <w:tblHeader/>
        </w:trPr>
        <w:tc>
          <w:tcPr>
            <w:tcW w:type="dxa" w:w="7937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问题类型或定位线索</w:t>
            </w:r>
          </w:p>
        </w:tc>
        <w:tc>
          <w:tcPr>
            <w:tcW w:type="dxa" w:w="1701"/>
            <w:vAlign w:val="center"/>
            <w:shd w:fill="EAEAEA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记录数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字段或计算补充审核 根因待核对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程序或模型问题待定位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样本标注问题：预期绿色，但当前没有适用的已审核规则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版本契约或适配问题：批次 b1 与规划商品 milk 未对应，需定位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45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模型理解问题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模型输出问题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1</w:t>
            </w:r>
          </w:p>
        </w:tc>
      </w:tr>
    </w:tbl>
    <w:p/>
    <w:p>
      <w:r>
        <w:t>记录数包含不同重复批次和补充审核。同一用例可能产生多条记录，不能相加当作独立缺陷数。</w:t>
      </w:r>
    </w:p>
    <w:p>
      <w:r>
        <w:t>新用例中的5条风险绿色预期与当前规则审核条件不符，原标注和首次结果保留，继续待复核。采购用例的可用库存和已审核风险前提也需要团队确认；单纯算出覆盖量不能替代这些前提。</w:t>
      </w:r>
    </w:p>
    <w:p>
      <w:r>
        <w:t>规划查询暴露了批次b1与商品milk的选择映射及旧夹具兼容问题。当前证据不足以直接等同于线上缺陷，需AI负责人核对当前接口资料。测试没有改队友代码，也没有改成只要返回文字就通过。</w:t>
      </w:r>
    </w:p>
    <w:p>
      <w:r>
        <w:t>例如p84-22-1把多操作误当成新任务；p85-08-1第5轮用户已要求登记两盒，模型仍按否定处理，第6轮状态查询受到连带影响。p84-24-2改回当前位置冰箱未生成草稿，属于标注或版本契约待确认，原FAIL保留。</w:t>
      </w:r>
    </w:p>
    <w:p>
      <w:r>
        <w:t>逐条预期和输出见issues.json与对应cases.jsonl，定位说明见问题定位.md。自动归因尚未获团队确认，自然表达仍待人工评估。</w:t>
      </w:r>
    </w:p>
    <w:p>
      <w:pPr>
        <w:pStyle w:val="Heading1"/>
      </w:pPr>
      <w:r>
        <w:t>我本轮交付的内容</w:t>
      </w:r>
    </w:p>
    <w:p>
      <w:r>
        <w:t>已交付源码与数据冻结清单、隔离运行脚本、请求和费用记录工具、逐条结果、失败及待复核清单、重复性统计、未执行清单和本份Word工作记录。测试脚本自检及源码相关单元检查证据保存在evidence目录。</w:t>
      </w:r>
    </w:p>
    <w:p>
      <w:r>
        <w:t>最终完整性核对：范围外1781个文件与副本301个输入文件，字节校验一致。</w:t>
      </w:r>
    </w:p>
    <w:p>
      <w:pPr>
        <w:pStyle w:val="Heading1"/>
      </w:pPr>
      <w:r>
        <w:t>下一轮比较要求</w:t>
      </w:r>
    </w:p>
    <w:p>
      <w:r>
        <w:t>接入Jev后固定相同主版本、用例、初始库存、测试时钟、评分和并发条件；同时报告Jev自身调用和费用，不能只统计DeepSeek减少的部分。若修复映射或调整标注，应同时重跑DeepSeek对照，不能把这些修复计作Jev的提升。单列缓存、时段、模型别名和网络变化，App和数据库联调另行验收。</w:t>
      </w:r>
    </w:p>
    <w:p>
      <w:r>
        <w:t>材料位置 tests/jev模型测试/DeepSeek单模型基线_20261029_3f007ba/；交接入口 tests/交接文件夹/2026-10-29_DeepSeek单模型基线/。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76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76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76" w:lineRule="auto"/>
      <w:ind w:left="720"/>
      <w:contextualSpacing/>
    </w:pPr>
    <w:rPr>
      <w:rFonts w:ascii="Microsoft YaHei" w:hAnsi="Microsoft YaHei" w:eastAsia="Microsoft YaHe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Microsoft YaHei" w:hAnsi="Microsoft YaHei" w:eastAsia="Microsoft YaHe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76" w:lineRule="auto"/>
    </w:pPr>
    <w:rPr>
      <w:rFonts w:ascii="Microsoft YaHei" w:hAnsi="Microsoft YaHei" w:eastAsia="Microsoft YaHe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76" w:lineRule="auto"/>
    </w:pPr>
    <w:rPr>
      <w:rFonts w:ascii="Microsoft YaHei" w:hAnsi="Microsoft YaHei" w:eastAsia="Microsoft YaHe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276" w:lineRule="auto"/>
      <w:ind w:left="360" w:hanging="360"/>
      <w:contextualSpacing/>
    </w:pPr>
    <w:rPr>
      <w:rFonts w:ascii="Microsoft YaHei" w:hAnsi="Microsoft YaHei" w:eastAsia="Microsoft YaHe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after="100" w:line="276" w:lineRule="auto"/>
      <w:ind w:left="720" w:hanging="360"/>
      <w:contextualSpacing/>
    </w:pPr>
    <w:rPr>
      <w:rFonts w:ascii="Microsoft YaHei" w:hAnsi="Microsoft YaHei" w:eastAsia="Microsoft YaHe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after="100" w:line="276" w:lineRule="auto"/>
      <w:ind w:left="1080" w:hanging="360"/>
      <w:contextualSpacing/>
    </w:pPr>
    <w:rPr>
      <w:rFonts w:ascii="Microsoft YaHei" w:hAnsi="Microsoft YaHei" w:eastAsia="Microsoft YaHe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6" w:lineRule="auto"/>
      <w:contextualSpacing/>
    </w:pPr>
    <w:rPr>
      <w:rFonts w:ascii="Microsoft YaHei" w:hAnsi="Microsoft YaHei" w:eastAsia="Microsoft YaHe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276" w:lineRule="auto"/>
      <w:contextualSpacing/>
    </w:pPr>
    <w:rPr>
      <w:rFonts w:ascii="Microsoft YaHei" w:hAnsi="Microsoft YaHei" w:eastAsia="Microsoft YaHe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76" w:lineRule="auto"/>
      <w:contextualSpacing/>
    </w:pPr>
    <w:rPr>
      <w:rFonts w:ascii="Microsoft YaHei" w:hAnsi="Microsoft YaHei" w:eastAsia="Microsoft YaHe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276" w:lineRule="auto"/>
      <w:contextualSpacing/>
    </w:pPr>
    <w:rPr>
      <w:rFonts w:ascii="Microsoft YaHei" w:hAnsi="Microsoft YaHei" w:eastAsia="Microsoft YaHe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76" w:lineRule="auto"/>
      <w:ind w:left="360"/>
      <w:contextualSpacing/>
    </w:pPr>
    <w:rPr>
      <w:rFonts w:ascii="Microsoft YaHei" w:hAnsi="Microsoft YaHei" w:eastAsia="Microsoft YaHe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76" w:lineRule="auto"/>
      <w:ind w:left="720"/>
      <w:contextualSpacing/>
    </w:pPr>
    <w:rPr>
      <w:rFonts w:ascii="Microsoft YaHei" w:hAnsi="Microsoft YaHei" w:eastAsia="Microsoft YaHe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76" w:lineRule="auto"/>
      <w:ind w:left="1080"/>
      <w:contextualSpacing/>
    </w:pPr>
    <w:rPr>
      <w:rFonts w:ascii="Microsoft YaHei" w:hAnsi="Microsoft YaHei" w:eastAsia="Microsoft YaHe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76" w:lineRule="auto"/>
    </w:pPr>
    <w:rPr>
      <w:rFonts w:ascii="Microsoft YaHei" w:hAnsi="Microsoft YaHei" w:eastAsia="Microsoft YaHe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276" w:lineRule="auto"/>
    </w:pPr>
    <w:rPr>
      <w:rFonts w:ascii="Microsoft YaHei" w:hAnsi="Microsoft YaHei" w:eastAsia="Microsoft YaHe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76" w:lineRule="auto"/>
      <w:ind w:left="936" w:right="936"/>
    </w:pPr>
    <w:rPr>
      <w:rFonts w:ascii="Microsoft YaHei" w:hAnsi="Microsoft YaHei" w:eastAsia="Microsoft YaHe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276" w:lineRule="auto"/>
      <w:outlineLvl w:val="9"/>
    </w:pPr>
    <w:rPr>
      <w:rFonts w:ascii="Microsoft YaHei" w:hAnsi="Microsoft YaHei" w:eastAsia="Microsoft YaHe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单模型基线测试工作记录</dc:title>
  <dc:subject/>
  <dc:creator>garin-cyber 测试记录</dc:creator>
  <cp:keywords/>
  <dc:description>generated by python-docx</dc:description>
  <cp:lastModifiedBy/>
  <cp:revision>1</cp:revision>
  <dcterms:created xsi:type="dcterms:W3CDTF">2026-10-28T17:24:19Z</dcterms:created>
  <dcterms:modified xsi:type="dcterms:W3CDTF">2026-10-28T17:24:19Z</dcterms:modified>
  <cp:category/>
</cp:coreProperties>
</file>