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5BE9" w14:textId="77777777" w:rsidR="003D538D" w:rsidRPr="00FE6985" w:rsidRDefault="003D538D" w:rsidP="003D538D">
      <w:pPr>
        <w:spacing w:line="393" w:lineRule="auto"/>
        <w:rPr>
          <w:sz w:val="16"/>
          <w:szCs w:val="16"/>
        </w:rPr>
      </w:pPr>
    </w:p>
    <w:p w14:paraId="4276CE17" w14:textId="77777777" w:rsidR="003D538D" w:rsidRPr="00FE6985" w:rsidRDefault="003D538D" w:rsidP="003D538D">
      <w:pPr>
        <w:pStyle w:val="1"/>
      </w:pPr>
      <w:r w:rsidRPr="00FE6985">
        <w:t>第</w:t>
      </w:r>
      <w:r w:rsidRPr="00FE6985">
        <w:t>22</w:t>
      </w:r>
      <w:r w:rsidRPr="00FE6985">
        <w:t>章、法律法规、标准规范</w:t>
      </w:r>
    </w:p>
    <w:p w14:paraId="62CD1707" w14:textId="02050E17" w:rsidR="003D538D" w:rsidRPr="00FE6985" w:rsidRDefault="003D538D" w:rsidP="003D538D">
      <w:pPr>
        <w:spacing w:before="72" w:line="310" w:lineRule="exact"/>
        <w:ind w:firstLine="52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9C84B4B" wp14:editId="3F56DA64">
                <wp:extent cx="1352550" cy="197485"/>
                <wp:effectExtent l="11430" t="17145" r="17145" b="33020"/>
                <wp:docPr id="1717527504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197485"/>
                          <a:chOff x="0" y="0"/>
                          <a:chExt cx="2130" cy="311"/>
                        </a:xfrm>
                      </wpg:grpSpPr>
                      <pic:pic xmlns:pic="http://schemas.openxmlformats.org/drawingml/2006/picture">
                        <pic:nvPicPr>
                          <pic:cNvPr id="43313852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775168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17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60496" w14:textId="77777777" w:rsidR="003D538D" w:rsidRDefault="003D538D" w:rsidP="003D538D">
                              <w:pPr>
                                <w:spacing w:before="123" w:line="227" w:lineRule="auto"/>
                                <w:ind w:left="32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4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9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技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术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84B4B" id="组合 1" o:spid="_x0000_s1026" style="width:106.5pt;height:15.55pt;mso-position-horizontal-relative:char;mso-position-vertical-relative:line" coordsize="2130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13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0;top:-20;width:217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" filled="f" stroked="f">
                  <v:textbox inset="0,0,0,0">
                    <w:txbxContent>
                      <w:p w14:paraId="58160496" w14:textId="77777777" w:rsidR="003D538D" w:rsidRDefault="003D538D" w:rsidP="003D538D">
                        <w:pPr>
                          <w:spacing w:before="123" w:line="227" w:lineRule="auto"/>
                          <w:ind w:left="32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3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楷体" w:eastAsia="楷体" w:hAnsi="楷体" w:cs="楷体"/>
                            <w:spacing w:val="-3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9</w:t>
                        </w:r>
                        <w:r>
                          <w:rPr>
                            <w:rFonts w:ascii="楷体" w:eastAsia="楷体" w:hAnsi="楷体" w:cs="楷体"/>
                            <w:spacing w:val="-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2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技</w:t>
                        </w:r>
                        <w:r>
                          <w:rPr>
                            <w:rFonts w:ascii="楷体" w:eastAsia="楷体" w:hAnsi="楷体" w:cs="楷体"/>
                            <w:spacing w:val="-2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术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标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F95D1A" w14:textId="77777777" w:rsidR="003D538D" w:rsidRPr="00FE6985" w:rsidRDefault="003D538D" w:rsidP="003D538D">
      <w:pPr>
        <w:spacing w:before="98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7"/>
          <w:sz w:val="16"/>
          <w:szCs w:val="16"/>
        </w:rPr>
        <w:t>1.我国目前的法律体系属于大陆体系。</w:t>
      </w:r>
    </w:p>
    <w:p w14:paraId="2975AE6D" w14:textId="77777777" w:rsidR="003D538D" w:rsidRPr="00FE6985" w:rsidRDefault="003D538D" w:rsidP="003D538D">
      <w:pPr>
        <w:spacing w:before="105" w:line="260" w:lineRule="auto"/>
        <w:ind w:left="440" w:right="13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2.享有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民事权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利的入在知道自己权利受到侵害的</w:t>
      </w:r>
      <w:r w:rsidRPr="00FE6985">
        <w:rPr>
          <w:rFonts w:ascii="宋体" w:eastAsia="宋体" w:hAnsi="宋体" w:cs="宋体" w:hint="eastAsia"/>
          <w:spacing w:val="13"/>
          <w:sz w:val="16"/>
          <w:szCs w:val="16"/>
          <w:u w:val="single"/>
        </w:rPr>
        <w:t>2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年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之内，就应当向人民法院提起诉讼。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</w:p>
    <w:p w14:paraId="22B1485E" w14:textId="77777777" w:rsidR="003D538D" w:rsidRPr="00FE6985" w:rsidRDefault="003D538D" w:rsidP="003D538D">
      <w:pPr>
        <w:spacing w:before="105" w:line="260" w:lineRule="auto"/>
        <w:ind w:left="440" w:right="138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3.如果</w:t>
      </w:r>
      <w:r w:rsidRPr="00FE6985">
        <w:rPr>
          <w:rFonts w:ascii="宋体" w:eastAsia="宋体" w:hAnsi="宋体" w:cs="宋体"/>
          <w:spacing w:val="-7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  <w:u w:val="single"/>
        </w:rPr>
        <w:t>20年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以后认为必须追诉的，要报请最高人民检察院核准。</w:t>
      </w:r>
    </w:p>
    <w:p w14:paraId="0631FD8B" w14:textId="77777777" w:rsidR="003D538D" w:rsidRPr="00FE6985" w:rsidRDefault="003D538D" w:rsidP="003D538D">
      <w:pPr>
        <w:spacing w:before="64" w:line="283" w:lineRule="auto"/>
        <w:ind w:right="58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9"/>
          <w:sz w:val="16"/>
          <w:szCs w:val="16"/>
        </w:rPr>
        <w:t>4.宪法具有最高的法律效力，随后依次是法律、行政法规、地方性法规、规章。全国人大及其常委会制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定的法律高于国务院、国务院各部门、各地人大及政府制定的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法规和规章；国务院制定的行政法规效力高于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国务院各部门制定的规章以及各地制定的地方性法规、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地方性规章；地方人大及其常委会制定的地方性法规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效力高于当地政府制定的规章。</w:t>
      </w:r>
    </w:p>
    <w:p w14:paraId="46D8643C" w14:textId="77777777" w:rsidR="003D538D" w:rsidRPr="00FE6985" w:rsidRDefault="003D538D" w:rsidP="003D538D">
      <w:pPr>
        <w:spacing w:before="76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</w:rPr>
        <w:t>5.特别规定与一般规定不一致的，适用特别规定。</w:t>
      </w:r>
    </w:p>
    <w:p w14:paraId="768A281C" w14:textId="77777777" w:rsidR="003D538D" w:rsidRPr="00FE6985" w:rsidRDefault="003D538D" w:rsidP="003D538D">
      <w:pPr>
        <w:spacing w:before="102" w:line="283" w:lineRule="auto"/>
        <w:ind w:right="85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9"/>
          <w:sz w:val="16"/>
          <w:szCs w:val="16"/>
        </w:rPr>
        <w:t>6.特殊情况处理原则：①法律之间对同一事项新的一般规定与旧的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特别规定不一致由全国人大常委会裁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决。②地方性法规、规章新的一般规定与旧的特殊规定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不一致时，由制定机构裁决。③地方性法规与部门规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章之间对同一事项规定不一致，不能确定如何适用时，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由国务院提出意见。国务院认为适用地方性法规的应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当决定在该地方适用地方性法规的规定，认为适用部门规章的，应当提请全国人大常委会裁决。④部门规章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之间、部门规章与地方政府规章之间对同一事项的规定不一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致时，由国务院裁决。</w:t>
      </w:r>
    </w:p>
    <w:p w14:paraId="2D31C3F7" w14:textId="77777777" w:rsidR="003D538D" w:rsidRPr="00FE6985" w:rsidRDefault="003D538D" w:rsidP="003D538D">
      <w:pPr>
        <w:spacing w:before="119" w:line="214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7.</w:t>
      </w:r>
      <w:r w:rsidRPr="00FE6985">
        <w:rPr>
          <w:rFonts w:ascii="宋体" w:eastAsia="宋体" w:hAnsi="宋体" w:cs="宋体"/>
          <w:spacing w:val="-7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国际标准化组织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International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Organizations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Standardization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,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ISO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);</w:t>
      </w:r>
    </w:p>
    <w:p w14:paraId="6937B611" w14:textId="77777777" w:rsidR="003D538D" w:rsidRPr="00FE6985" w:rsidRDefault="003D538D" w:rsidP="003D538D">
      <w:pPr>
        <w:spacing w:before="35" w:line="212" w:lineRule="auto"/>
        <w:ind w:left="44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②</w:t>
      </w:r>
      <w:r w:rsidRPr="00FE6985">
        <w:rPr>
          <w:rFonts w:ascii="宋体" w:eastAsia="宋体" w:hAnsi="宋体" w:cs="宋体"/>
          <w:spacing w:val="-4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国际电工委员会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International</w:t>
      </w:r>
      <w:r w:rsidRPr="00FE6985"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Electro     technical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Commission</w:t>
      </w: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,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IEC</w:t>
      </w: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);</w:t>
      </w:r>
    </w:p>
    <w:p w14:paraId="19509421" w14:textId="77777777" w:rsidR="003D538D" w:rsidRPr="00FE6985" w:rsidRDefault="003D538D" w:rsidP="003D538D">
      <w:pPr>
        <w:spacing w:before="92" w:line="212" w:lineRule="auto"/>
        <w:ind w:left="44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宋体" w:eastAsia="宋体" w:hAnsi="宋体" w:cs="宋体"/>
          <w:spacing w:val="7"/>
          <w:sz w:val="16"/>
          <w:szCs w:val="16"/>
        </w:rPr>
        <w:t>③</w:t>
      </w:r>
      <w:r w:rsidRPr="00FE6985">
        <w:rPr>
          <w:rFonts w:ascii="宋体" w:eastAsia="宋体" w:hAnsi="宋体" w:cs="宋体"/>
          <w:spacing w:val="-5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国际电信联盟 </w:t>
      </w: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International       Telecommunication</w:t>
      </w: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Union</w:t>
      </w: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>,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ITU</w:t>
      </w: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>);</w:t>
      </w:r>
    </w:p>
    <w:p w14:paraId="434F6352" w14:textId="77777777" w:rsidR="003D538D" w:rsidRPr="00FE6985" w:rsidRDefault="003D538D" w:rsidP="003D538D">
      <w:pPr>
        <w:spacing w:before="92" w:line="212" w:lineRule="auto"/>
        <w:ind w:left="44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④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电气电子工程师学会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Institute    Electrical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and</w:t>
      </w:r>
      <w:r w:rsidRPr="00FE6985"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Electronics    Engineers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,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IEEE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);</w:t>
      </w:r>
    </w:p>
    <w:p w14:paraId="57A21682" w14:textId="77777777" w:rsidR="003D538D" w:rsidRPr="00FE6985" w:rsidRDefault="003D538D" w:rsidP="003D538D">
      <w:pPr>
        <w:spacing w:before="111" w:line="217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6"/>
          <w:sz w:val="16"/>
          <w:szCs w:val="16"/>
        </w:rPr>
        <w:t>⑤</w:t>
      </w:r>
      <w:r w:rsidRPr="00FE6985">
        <w:rPr>
          <w:rFonts w:ascii="宋体" w:eastAsia="宋体" w:hAnsi="宋体" w:cs="宋体"/>
          <w:spacing w:val="-6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国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际</w:t>
      </w:r>
      <w:r w:rsidRPr="00FE6985">
        <w:rPr>
          <w:rFonts w:ascii="Times New Roman" w:eastAsia="Times New Roman" w:hAnsi="Times New Roman" w:cs="Times New Roman"/>
          <w:spacing w:val="-6"/>
          <w:sz w:val="16"/>
          <w:szCs w:val="16"/>
        </w:rPr>
        <w:t>Web</w:t>
      </w:r>
      <w:r w:rsidRPr="00FE6985">
        <w:rPr>
          <w:rFonts w:ascii="Times New Roman" w:eastAsia="Times New Roman" w:hAnsi="Times New Roman" w:cs="Times New Roman"/>
          <w:spacing w:val="4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联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盟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(W3C);</w:t>
      </w:r>
    </w:p>
    <w:p w14:paraId="00464B47" w14:textId="77777777" w:rsidR="003D538D" w:rsidRPr="00FE6985" w:rsidRDefault="003D538D" w:rsidP="003D538D">
      <w:pPr>
        <w:spacing w:before="67" w:line="212" w:lineRule="auto"/>
        <w:ind w:left="44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⑥</w:t>
      </w:r>
      <w:r w:rsidRPr="00FE6985">
        <w:rPr>
          <w:rFonts w:ascii="宋体" w:eastAsia="宋体" w:hAnsi="宋体" w:cs="宋体"/>
          <w:spacing w:val="-6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国家标准化管理委员会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13"/>
          <w:sz w:val="16"/>
          <w:szCs w:val="16"/>
        </w:rPr>
        <w:t>(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Standardization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Administration</w:t>
      </w:r>
      <w:r w:rsidRPr="00FE6985"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of</w:t>
      </w: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  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China</w:t>
      </w:r>
      <w:r w:rsidRPr="00FE6985">
        <w:rPr>
          <w:rFonts w:ascii="Times New Roman" w:eastAsia="Times New Roman" w:hAnsi="Times New Roman" w:cs="Times New Roman"/>
          <w:spacing w:val="13"/>
          <w:sz w:val="16"/>
          <w:szCs w:val="16"/>
        </w:rPr>
        <w:t>,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SAC</w:t>
      </w:r>
      <w:r w:rsidRPr="00FE6985">
        <w:rPr>
          <w:rFonts w:ascii="Times New Roman" w:eastAsia="Times New Roman" w:hAnsi="Times New Roman" w:cs="Times New Roman"/>
          <w:spacing w:val="13"/>
          <w:sz w:val="16"/>
          <w:szCs w:val="16"/>
        </w:rPr>
        <w:t>);</w:t>
      </w:r>
    </w:p>
    <w:p w14:paraId="23C2924D" w14:textId="77777777" w:rsidR="003D538D" w:rsidRPr="00FE6985" w:rsidRDefault="003D538D" w:rsidP="003D538D">
      <w:pPr>
        <w:spacing w:before="111" w:line="217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8"/>
          <w:sz w:val="16"/>
          <w:szCs w:val="16"/>
        </w:rPr>
        <w:t>⑦全国信息技术标准化技术委员会，简称信标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委。</w:t>
      </w:r>
    </w:p>
    <w:p w14:paraId="7A734D97" w14:textId="77777777" w:rsidR="003D538D" w:rsidRPr="00FE6985" w:rsidRDefault="003D538D" w:rsidP="003D538D">
      <w:pPr>
        <w:spacing w:before="99" w:line="275" w:lineRule="auto"/>
        <w:ind w:right="67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9"/>
          <w:sz w:val="16"/>
          <w:szCs w:val="16"/>
        </w:rPr>
        <w:t>8.在公布国家标准之后，该项行业标准即行废止。国家鼓励企业制定严于国家标准或行业标准的企业标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准在企业内部使用。</w:t>
      </w:r>
    </w:p>
    <w:p w14:paraId="34749C3B" w14:textId="77777777" w:rsidR="003D538D" w:rsidRPr="00FE6985" w:rsidRDefault="003D538D" w:rsidP="003D538D">
      <w:pPr>
        <w:spacing w:before="62" w:line="271" w:lineRule="auto"/>
        <w:ind w:right="84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1"/>
          <w:sz w:val="16"/>
          <w:szCs w:val="16"/>
        </w:rPr>
        <w:t>9.标准名称组成要素：①引导要素；②主体要素；③补充要素；④4位数的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年代构成。每个标准必须有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主体要素，即标准的主标题不能省略。</w:t>
      </w:r>
    </w:p>
    <w:p w14:paraId="789A5F5E" w14:textId="77777777" w:rsidR="003D538D" w:rsidRPr="003F09CA" w:rsidRDefault="003D538D" w:rsidP="003D538D">
      <w:pPr>
        <w:spacing w:before="62" w:line="350" w:lineRule="exact"/>
        <w:ind w:left="440"/>
        <w:rPr>
          <w:rFonts w:ascii="宋体" w:eastAsia="宋体" w:hAnsi="宋体" w:cs="宋体"/>
          <w:spacing w:val="16"/>
          <w:position w:val="12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position w:val="12"/>
          <w:sz w:val="16"/>
          <w:szCs w:val="16"/>
        </w:rPr>
        <w:t>10.国家标准的制定过程9阶段：①前期准备；②立项；③起草；④征求意</w:t>
      </w:r>
      <w:r w:rsidRPr="00FE6985">
        <w:rPr>
          <w:rFonts w:ascii="宋体" w:eastAsia="宋体" w:hAnsi="宋体" w:cs="宋体"/>
          <w:spacing w:val="15"/>
          <w:position w:val="12"/>
          <w:sz w:val="16"/>
          <w:szCs w:val="16"/>
        </w:rPr>
        <w:t>见；⑤审查；⑥批准；⑦出版；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⑧复审；⑨废止</w:t>
      </w:r>
    </w:p>
    <w:p w14:paraId="5549947B" w14:textId="77777777" w:rsidR="003D538D" w:rsidRPr="00FE6985" w:rsidRDefault="003D538D" w:rsidP="003D538D">
      <w:pPr>
        <w:spacing w:before="129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7"/>
          <w:sz w:val="16"/>
          <w:szCs w:val="16"/>
        </w:rPr>
        <w:t>11.</w:t>
      </w:r>
      <w:r w:rsidRPr="00FE6985">
        <w:rPr>
          <w:rFonts w:ascii="宋体" w:eastAsia="宋体" w:hAnsi="宋体" w:cs="宋体"/>
          <w:sz w:val="16"/>
          <w:szCs w:val="16"/>
        </w:rPr>
        <w:t>ISO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标准每</w:t>
      </w:r>
      <w:r w:rsidRPr="00C706C6">
        <w:rPr>
          <w:rFonts w:ascii="宋体" w:eastAsia="宋体" w:hAnsi="宋体" w:cs="宋体"/>
          <w:b/>
          <w:bCs/>
          <w:color w:val="FF0000"/>
          <w:spacing w:val="7"/>
          <w:sz w:val="16"/>
          <w:szCs w:val="16"/>
        </w:rPr>
        <w:t>5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年复审一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次，国家标准有效期一般为</w:t>
      </w:r>
      <w:r w:rsidRPr="00C706C6">
        <w:rPr>
          <w:rFonts w:ascii="宋体" w:eastAsia="宋体" w:hAnsi="宋体" w:cs="宋体"/>
          <w:b/>
          <w:bCs/>
          <w:spacing w:val="-86"/>
          <w:sz w:val="16"/>
          <w:szCs w:val="16"/>
        </w:rPr>
        <w:t xml:space="preserve"> </w:t>
      </w:r>
      <w:r w:rsidRPr="00C706C6">
        <w:rPr>
          <w:rFonts w:ascii="宋体" w:eastAsia="宋体" w:hAnsi="宋体" w:cs="宋体"/>
          <w:b/>
          <w:bCs/>
          <w:spacing w:val="-84"/>
          <w:sz w:val="16"/>
          <w:szCs w:val="16"/>
          <w:u w:val="single"/>
        </w:rPr>
        <w:t xml:space="preserve"> </w:t>
      </w:r>
      <w:r w:rsidRPr="00C706C6">
        <w:rPr>
          <w:rFonts w:ascii="宋体" w:eastAsia="宋体" w:hAnsi="宋体" w:cs="宋体"/>
          <w:b/>
          <w:bCs/>
          <w:color w:val="FF0000"/>
          <w:spacing w:val="7"/>
          <w:sz w:val="16"/>
          <w:szCs w:val="16"/>
          <w:u w:val="single"/>
        </w:rPr>
        <w:t>5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年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(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1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9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下</w:t>
      </w:r>
      <w:r w:rsidRPr="00FE6985">
        <w:rPr>
          <w:rFonts w:ascii="宋体" w:eastAsia="宋体" w:hAnsi="宋体" w:cs="宋体"/>
          <w:spacing w:val="-1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7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0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)</w:t>
      </w:r>
    </w:p>
    <w:p w14:paraId="02D20BED" w14:textId="77777777" w:rsidR="003D538D" w:rsidRPr="00FE6985" w:rsidRDefault="003D538D" w:rsidP="003D538D">
      <w:pPr>
        <w:spacing w:line="270" w:lineRule="auto"/>
        <w:rPr>
          <w:sz w:val="16"/>
          <w:szCs w:val="16"/>
        </w:rPr>
      </w:pPr>
    </w:p>
    <w:p w14:paraId="2B489BC8" w14:textId="77777777" w:rsidR="00A4378E" w:rsidRDefault="00A4378E"/>
    <w:sectPr w:rsidR="00A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F363" w14:textId="77777777" w:rsidR="0017555B" w:rsidRDefault="0017555B" w:rsidP="003D538D">
      <w:r>
        <w:separator/>
      </w:r>
    </w:p>
  </w:endnote>
  <w:endnote w:type="continuationSeparator" w:id="0">
    <w:p w14:paraId="1379BECA" w14:textId="77777777" w:rsidR="0017555B" w:rsidRDefault="0017555B" w:rsidP="003D5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CC8A" w14:textId="77777777" w:rsidR="0017555B" w:rsidRDefault="0017555B" w:rsidP="003D538D">
      <w:r>
        <w:separator/>
      </w:r>
    </w:p>
  </w:footnote>
  <w:footnote w:type="continuationSeparator" w:id="0">
    <w:p w14:paraId="0F9BC5EF" w14:textId="77777777" w:rsidR="0017555B" w:rsidRDefault="0017555B" w:rsidP="003D5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A9"/>
    <w:rsid w:val="0005448C"/>
    <w:rsid w:val="0017555B"/>
    <w:rsid w:val="003D538D"/>
    <w:rsid w:val="008C0EA9"/>
    <w:rsid w:val="00A4378E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33A1D63-B068-4CBE-905D-CA6E53AB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38D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3D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38D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38D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3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538D"/>
    <w:rPr>
      <w:rFonts w:ascii="Arial" w:hAnsi="Arial" w:cs="Arial"/>
      <w:b/>
      <w:bCs/>
      <w:snapToGrid w:val="0"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2</cp:revision>
  <dcterms:created xsi:type="dcterms:W3CDTF">2023-05-25T02:55:00Z</dcterms:created>
  <dcterms:modified xsi:type="dcterms:W3CDTF">2023-05-25T02:55:00Z</dcterms:modified>
</cp:coreProperties>
</file>