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销售业务分析报告V3</w:t>
      </w:r>
    </w:p>
    <w:p>
      <w:r>
        <w:rPr>
          <w:rFonts w:ascii="Microsoft YaHei" w:hAnsi="Microsoft YaHei" w:eastAsia="Microsoft YaHei"/>
        </w:rPr>
        <w:t>生成时间: 2026-02-21 20:54:04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一、核心业务指标</w:t>
      </w:r>
    </w:p>
    <w:p>
      <w:r>
        <w:rPr>
          <w:rFonts w:ascii="Microsoft YaHei" w:hAnsi="Microsoft YaHei" w:eastAsia="Microsoft YaHei"/>
          <w:sz w:val="20"/>
        </w:rPr>
        <w:t>本章节展示了数据中的核心业务指标汇总统计，反映整体业务规模。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指标名称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指标值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指标说明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销售额 (汇总)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1277000.00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销售额的总和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销售额 (平均)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106416.67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销售额的平均值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销售额 (最大)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220000.00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销售额的最大值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销售额 (最小)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45000.00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元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销售额的最小值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销售量 (汇总)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6310.00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销售量的总和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销售量 (平均)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525.83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销售量的平均值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销售量 (最大)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1040.00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销售量的最大值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销售量 (最小)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150.00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销售量的最小值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