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Sparrow hid通信协议</w:t>
      </w: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bidi w:val="0"/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一协议格式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987"/>
        <w:gridCol w:w="958"/>
        <w:gridCol w:w="1340"/>
        <w:gridCol w:w="1071"/>
        <w:gridCol w:w="1086"/>
        <w:gridCol w:w="1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6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8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6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8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6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0xC0、0x0C</w:t>
            </w:r>
          </w:p>
        </w:tc>
        <w:tc>
          <w:tcPr>
            <w:tcW w:w="563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8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29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7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933"/>
        <w:gridCol w:w="932"/>
        <w:gridCol w:w="1302"/>
        <w:gridCol w:w="1041"/>
        <w:gridCol w:w="1287"/>
        <w:gridCol w:w="1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13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4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6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61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13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4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6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3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0xC0、0x0C</w:t>
            </w:r>
          </w:p>
        </w:tc>
        <w:tc>
          <w:tcPr>
            <w:tcW w:w="547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64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11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55" w:type="pc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0xED、0xDE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dataLen:有效数据长度，hid通信数据长度固定为63 byte，去掉协议其他部分，数据部分长度为固定56 byte，dataLen只表示有效数据的长度；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Checksum：校验和，计算从Start开始到有效Data结束的累加和；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协议内容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上传文本数据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启动传输协议：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FrameLen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启动传输响应：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方向：ESP32-&gt;上位机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数据传输协议：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866"/>
        <w:gridCol w:w="1265"/>
        <w:gridCol w:w="1688"/>
        <w:gridCol w:w="1591"/>
        <w:gridCol w:w="1500"/>
        <w:gridCol w:w="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FrameIndex</w:t>
            </w: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FrameData</w:t>
            </w:r>
          </w:p>
        </w:tc>
        <w:tc>
          <w:tcPr>
            <w:tcW w:w="88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37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7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37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数据接收响应：</w:t>
      </w:r>
    </w:p>
    <w:tbl>
      <w:tblPr>
        <w:tblStyle w:val="5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866"/>
        <w:gridCol w:w="1265"/>
        <w:gridCol w:w="1688"/>
        <w:gridCol w:w="1591"/>
        <w:gridCol w:w="1500"/>
        <w:gridCol w:w="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</w:t>
            </w: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FrameData</w:t>
            </w:r>
          </w:p>
        </w:tc>
        <w:tc>
          <w:tcPr>
            <w:tcW w:w="88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437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pct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37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08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742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37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FrameLen：文本数据需要传输的数据帧个数；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FrameIndex：当前数据帧索引；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FrameData：数据帧数据；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Ack： </w:t>
      </w:r>
      <w:bookmarkStart w:id="0" w:name="_GoBack"/>
      <w:bookmarkEnd w:id="0"/>
      <w:r>
        <w:rPr>
          <w:rFonts w:hint="eastAsia"/>
          <w:lang w:val="en-US" w:eastAsia="zh-CN"/>
        </w:rPr>
        <w:t>0x00：拒绝接收；</w:t>
      </w:r>
    </w:p>
    <w:p>
      <w:pPr>
        <w:widowControl w:val="0"/>
        <w:numPr>
          <w:ilvl w:val="0"/>
          <w:numId w:val="0"/>
        </w:numPr>
        <w:ind w:left="126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0x01：准备接收；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系统运行信息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方向：上位机-&gt;ESP32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101"/>
        <w:gridCol w:w="1608"/>
        <w:gridCol w:w="1858"/>
        <w:gridCol w:w="1908"/>
        <w:gridCol w:w="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DataLen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Checksum</w:t>
            </w:r>
          </w:p>
        </w:tc>
        <w:tc>
          <w:tcPr>
            <w:tcW w:w="556" w:type="pct"/>
            <w:vMerge w:val="restar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6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943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090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9" w:type="pct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6" w:type="pct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6C38C"/>
    <w:multiLevelType w:val="singleLevel"/>
    <w:tmpl w:val="9F56C38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AD87DBE"/>
    <w:multiLevelType w:val="multilevel"/>
    <w:tmpl w:val="AAD87DB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xZDY4ZDQzNmQwZmIyNzlhNTZiMDZmMjgzNzUxMTMifQ=="/>
  </w:docVars>
  <w:rsids>
    <w:rsidRoot w:val="0EAF6AE2"/>
    <w:rsid w:val="098C0B59"/>
    <w:rsid w:val="0EAF6AE2"/>
    <w:rsid w:val="13B20A39"/>
    <w:rsid w:val="15DC6CEA"/>
    <w:rsid w:val="1C9751CA"/>
    <w:rsid w:val="31B634D0"/>
    <w:rsid w:val="3AC62558"/>
    <w:rsid w:val="43710E5A"/>
    <w:rsid w:val="5590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266</Words>
  <Characters>533</Characters>
  <Lines>0</Lines>
  <Paragraphs>0</Paragraphs>
  <TotalTime>12</TotalTime>
  <ScaleCrop>false</ScaleCrop>
  <LinksUpToDate>false</LinksUpToDate>
  <CharactersWithSpaces>537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2024-06-23T11:43:00Z</dcterms:created>
  <dc:creator>Magi©</dc:creator>
  <cp:lastModifiedBy>Magi©</cp:lastModifiedBy>
  <dcterms:modified xsi:type="dcterms:W3CDTF">2024-06-29T01:48:27Z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2F1D15C059AC47EFA8F6C949631F81BE_11</vt:lpwstr>
  </property>
</Properties>
</file>