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Noto Sans CJK SC" w:hAnsi="Noto Sans CJK SC" w:eastAsia="Noto Sans CJK SC"/>
          <w:b/>
          <w:i w:val="0"/>
          <w:color w:val="0F6B6D"/>
          <w:sz w:val="72"/>
        </w:rPr>
        <w:t>11:52</w:t>
      </w:r>
    </w:p>
    <w:p>
      <w:pPr>
        <w:spacing w:after="80"/>
        <w:jc w:val="center"/>
      </w:pPr>
      <w:r>
        <w:rPr>
          <w:rFonts w:ascii="Noto Sans CJK SC" w:hAnsi="Noto Sans CJK SC" w:eastAsia="Noto Sans CJK SC"/>
          <w:b/>
          <w:i w:val="0"/>
          <w:color w:val="152238"/>
          <w:sz w:val="46"/>
        </w:rPr>
        <w:t>《11:52》媒体连续性与资产依赖专项审计报告</w:t>
      </w:r>
    </w:p>
    <w:p>
      <w:pPr>
        <w:spacing w:after="160"/>
        <w:jc w:val="center"/>
      </w:pPr>
      <w:r>
        <w:rPr>
          <w:rFonts w:ascii="Noto Sans CJK SC" w:hAnsi="Noto Sans CJK SC" w:eastAsia="Noto Sans CJK SC"/>
          <w:b/>
          <w:i w:val="0"/>
          <w:color w:val="0F6B6D"/>
          <w:sz w:val="27"/>
        </w:rPr>
        <w:t>第一至第九册交叉核对</w:t>
      </w:r>
    </w:p>
    <w:p>
      <w:pPr>
        <w:spacing w:after="600"/>
        <w:jc w:val="center"/>
      </w:pPr>
      <w:r>
        <w:rPr>
          <w:rFonts w:ascii="Noto Sans CJK SC" w:hAnsi="Noto Sans CJK SC" w:eastAsia="Noto Sans CJK SC"/>
          <w:b/>
          <w:i w:val="0"/>
          <w:color w:val="68737D"/>
          <w:sz w:val="21"/>
        </w:rPr>
        <w:t>Logic Audit V1.3</w:t>
      </w:r>
    </w:p>
    <w:tbl>
      <w:tblPr>
        <w:tblW w:type="auto" w:w="0"/>
        <w:tblLayout w:type="fixed"/>
        <w:tblLook w:firstColumn="1" w:firstRow="1" w:lastColumn="0" w:lastRow="0" w:noHBand="0" w:noVBand="1" w:val="04A0"/>
        <w:tblBorders>
          <w:top w:val="single" w:sz="8" w:space="0" w:color="A9C9CB"/>
          <w:left w:val="single" w:sz="8" w:space="0" w:color="A9C9CB"/>
          <w:bottom w:val="single" w:sz="8" w:space="0" w:color="A9C9CB"/>
          <w:right w:val="single" w:sz="8" w:space="0" w:color="A9C9CB"/>
          <w:insideH w:val="single" w:sz="8" w:space="0" w:color="A9C9CB"/>
          <w:insideV w:val="single" w:sz="8" w:space="0" w:color="A9C9CB"/>
        </w:tblBorders>
      </w:tblPr>
      <w:tblGrid>
        <w:gridCol w:w="8901"/>
      </w:tblGrid>
      <w:tr>
        <w:trPr>
          <w:tblHeader w:val="true"/>
        </w:trPr>
        <w:tc>
          <w:tcPr>
            <w:tcW w:type="dxa" w:w="10036"/>
            <w:shd w:fill="DDEFF0"/>
            <w:tcMar>
              <w:top w:w="180" w:type="dxa"/>
              <w:start w:w="240" w:type="dxa"/>
              <w:bottom w:w="180" w:type="dxa"/>
              <w:end w:w="240" w:type="dxa"/>
            </w:tcMar>
          </w:tcPr>
          <w:p>
            <w:pPr>
              <w:jc w:val="center"/>
            </w:pPr>
            <w:r>
              <w:rPr>
                <w:rFonts w:ascii="Noto Sans CJK SC" w:hAnsi="Noto Sans CJK SC" w:eastAsia="Noto Sans CJK SC"/>
                <w:b/>
                <w:i w:val="0"/>
                <w:color w:val="152238"/>
                <w:sz w:val="25"/>
              </w:rPr>
              <w:t>“先证明媒体能承担既定事实，再允许它进入生产。”</w:t>
            </w:r>
          </w:p>
        </w:tc>
      </w:tr>
    </w:tbl>
    <w:p/>
    <w:p>
      <w:pPr>
        <w:spacing w:before="0" w:after="40" w:line="300" w:lineRule="auto"/>
        <w:jc w:val="center"/>
      </w:pPr>
      <w:r>
        <w:rPr>
          <w:rFonts w:ascii="Noto Sans CJK SC" w:hAnsi="Noto Sans CJK SC" w:eastAsia="Noto Sans CJK SC"/>
          <w:b w:val="0"/>
          <w:i w:val="0"/>
          <w:color w:val="68737D"/>
          <w:sz w:val="18"/>
        </w:rPr>
        <w:t>内部审计 · 2026-07-17</w:t>
      </w:r>
    </w:p>
    <w:p>
      <w:pPr>
        <w:spacing w:before="0" w:after="40" w:line="300" w:lineRule="auto"/>
        <w:jc w:val="center"/>
      </w:pPr>
      <w:r>
        <w:rPr>
          <w:rFonts w:ascii="Noto Sans CJK SC" w:hAnsi="Noto Sans CJK SC" w:eastAsia="Noto Sans CJK SC"/>
          <w:b w:val="0"/>
          <w:i w:val="0"/>
          <w:color w:val="68737D"/>
          <w:sz w:val="18"/>
        </w:rPr>
        <w:t>审计对象：人物、地点、物件、照片、视频、音频、R阶段与证据来源</w:t>
      </w:r>
    </w:p>
    <w:p>
      <w:r>
        <w:br w:type="page"/>
      </w:r>
    </w:p>
    <w:p>
      <w:pPr>
        <w:pStyle w:val="Heading1"/>
        <w:pBdr>
          <w:bottom w:val="single" w:sz="8" w:space="4" w:color="0F6B6D"/>
        </w:pBdr>
      </w:pPr>
      <w:r>
        <w:t>1. 审计范围与方法</w:t>
      </w:r>
    </w:p>
    <w:p>
      <w:pPr>
        <w:spacing w:before="0" w:after="100" w:line="300" w:lineRule="auto"/>
      </w:pPr>
      <w:r>
        <w:rPr>
          <w:rFonts w:ascii="Noto Sans CJK SC" w:hAnsi="Noto Sans CJK SC" w:eastAsia="Noto Sans CJK SC"/>
          <w:b w:val="0"/>
          <w:i w:val="0"/>
          <w:color w:val="28323C"/>
          <w:sz w:val="21"/>
        </w:rPr>
        <w:t>本次审计读取第一至第八册的冻结事实、A3/A4/A5逐场内容、30项谜题与19项核心事实，并将其映射到第九册的媒体资产注册。检查重点包括人物知情边界、视觉连续性、视频时间点、sourceRoot独立性、修正版本、无障碍补偿与死路。</w:t>
      </w:r>
    </w:p>
    <w:tbl>
      <w:tblPr>
        <w:tblW w:type="auto" w:w="0"/>
        <w:jc w:val="center"/>
        <w:tblLayout w:type="fixed"/>
        <w:tblLook w:firstColumn="1" w:firstRow="1" w:lastColumn="0" w:lastRow="0" w:noHBand="0" w:noVBand="1" w:val="04A0"/>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3345"/>
        <w:gridCol w:w="3345"/>
        <w:gridCol w:w="3345"/>
      </w:tblGrid>
      <w:tr>
        <w:trPr>
          <w:tblHeader w:val="true"/>
        </w:trPr>
        <w:tc>
          <w:tcPr>
            <w:tcW w:type="dxa" w:w="1701"/>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7"/>
              </w:rPr>
              <w:t>审计维度</w:t>
            </w:r>
          </w:p>
        </w:tc>
        <w:tc>
          <w:tcPr>
            <w:tcW w:type="dxa" w:w="4706"/>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7"/>
              </w:rPr>
              <w:t>检查问题</w:t>
            </w:r>
          </w:p>
        </w:tc>
        <w:tc>
          <w:tcPr>
            <w:tcW w:type="dxa" w:w="3798"/>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7"/>
              </w:rPr>
              <w:t>结论</w:t>
            </w:r>
          </w:p>
        </w:tc>
      </w:tr>
      <w:tr>
        <w:trPr>
          <w:cantSplit/>
        </w:trPr>
        <w:tc>
          <w:tcPr>
            <w:tcW w:type="dxa" w:w="1701"/>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人物</w:t>
            </w:r>
          </w:p>
        </w:tc>
        <w:tc>
          <w:tcPr>
            <w:tcW w:type="dxa" w:w="4706"/>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同一角色是否被不同资产画成不同人？</w:t>
            </w:r>
          </w:p>
        </w:tc>
        <w:tc>
          <w:tcPr>
            <w:tcW w:type="dxa" w:w="3798"/>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通过；第九册冻结身份包。</w:t>
            </w:r>
          </w:p>
        </w:tc>
      </w:tr>
      <w:tr>
        <w:trPr>
          <w:cantSplit/>
        </w:trPr>
        <w:tc>
          <w:tcPr>
            <w:tcW w:type="dxa" w:w="1701"/>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玩家代入</w:t>
            </w:r>
          </w:p>
        </w:tc>
        <w:tc>
          <w:tcPr>
            <w:tcW w:type="dxa" w:w="4706"/>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关键媒体是否强制固定玩家脸？</w:t>
            </w:r>
          </w:p>
        </w:tc>
        <w:tc>
          <w:tcPr>
            <w:tcW w:type="dxa" w:w="3798"/>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通过；只用可选模板、手部、反光与背影。</w:t>
            </w:r>
          </w:p>
        </w:tc>
      </w:tr>
      <w:tr>
        <w:trPr>
          <w:cantSplit/>
        </w:trPr>
        <w:tc>
          <w:tcPr>
            <w:tcW w:type="dxa" w:w="1701"/>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旧雨17</w:t>
            </w:r>
          </w:p>
        </w:tc>
        <w:tc>
          <w:tcPr>
            <w:tcW w:type="dxa" w:w="4706"/>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guard.png是否误成真实身份？</w:t>
            </w:r>
          </w:p>
        </w:tc>
        <w:tc>
          <w:tcPr>
            <w:tcW w:type="dxa" w:w="3798"/>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已纠正；使用非正脸痕迹包。</w:t>
            </w:r>
          </w:p>
        </w:tc>
      </w:tr>
      <w:tr>
        <w:trPr>
          <w:cantSplit/>
        </w:trPr>
        <w:tc>
          <w:tcPr>
            <w:tcW w:type="dxa" w:w="1701"/>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潘博文</w:t>
            </w:r>
          </w:p>
        </w:tc>
        <w:tc>
          <w:tcPr>
            <w:tcW w:type="dxa" w:w="4706"/>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2013与2026外观是否冲突？</w:t>
            </w:r>
          </w:p>
        </w:tc>
        <w:tc>
          <w:tcPr>
            <w:tcW w:type="dxa" w:w="3798"/>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已冻结同一身份基底，2026外观约18—20岁。</w:t>
            </w:r>
          </w:p>
        </w:tc>
      </w:tr>
      <w:tr>
        <w:trPr>
          <w:cantSplit/>
        </w:trPr>
        <w:tc>
          <w:tcPr>
            <w:tcW w:type="dxa" w:w="1701"/>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地点</w:t>
            </w:r>
          </w:p>
        </w:tc>
        <w:tc>
          <w:tcPr>
            <w:tcW w:type="dxa" w:w="4706"/>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地图、照片和视频是否共享同一建筑几何？</w:t>
            </w:r>
          </w:p>
        </w:tc>
        <w:tc>
          <w:tcPr>
            <w:tcW w:type="dxa" w:w="3798"/>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通过；旧园区与走廊几何冻结。</w:t>
            </w:r>
          </w:p>
        </w:tc>
      </w:tr>
      <w:tr>
        <w:trPr>
          <w:cantSplit/>
        </w:trPr>
        <w:tc>
          <w:tcPr>
            <w:tcW w:type="dxa" w:w="1701"/>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帧/时间</w:t>
            </w:r>
          </w:p>
        </w:tc>
        <w:tc>
          <w:tcPr>
            <w:tcW w:type="dxa" w:w="4706"/>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417帧、11.52秒和61.2秒是否可稳定实现？</w:t>
            </w:r>
          </w:p>
        </w:tc>
        <w:tc>
          <w:tcPr>
            <w:tcW w:type="dxa" w:w="3798"/>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通过；关键视频均恒定30fps并定义索引。</w:t>
            </w:r>
          </w:p>
        </w:tc>
      </w:tr>
      <w:tr>
        <w:trPr>
          <w:cantSplit/>
        </w:trPr>
        <w:tc>
          <w:tcPr>
            <w:tcW w:type="dxa" w:w="1701"/>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证据</w:t>
            </w:r>
          </w:p>
        </w:tc>
        <w:tc>
          <w:tcPr>
            <w:tcW w:type="dxa" w:w="4706"/>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派生裁切是否被误算独立来源？</w:t>
            </w:r>
          </w:p>
        </w:tc>
        <w:tc>
          <w:tcPr>
            <w:tcW w:type="dxa" w:w="3798"/>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已禁止；全部继承sourceRoot。</w:t>
            </w:r>
          </w:p>
        </w:tc>
      </w:tr>
      <w:tr>
        <w:trPr>
          <w:cantSplit/>
        </w:trPr>
        <w:tc>
          <w:tcPr>
            <w:tcW w:type="dxa" w:w="1701"/>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无障碍</w:t>
            </w:r>
          </w:p>
        </w:tc>
        <w:tc>
          <w:tcPr>
            <w:tcW w:type="dxa" w:w="4706"/>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关键媒体失败是否会形成死路？</w:t>
            </w:r>
          </w:p>
        </w:tc>
        <w:tc>
          <w:tcPr>
            <w:tcW w:type="dxa" w:w="3798"/>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通过；关键帧、字幕、转写和独立佐证齐全。</w:t>
            </w:r>
          </w:p>
        </w:tc>
      </w:tr>
    </w:tbl>
    <w:p>
      <w:pPr>
        <w:spacing w:after="20"/>
      </w:pPr>
    </w:p>
    <w:p>
      <w:pPr>
        <w:pStyle w:val="Heading1"/>
        <w:pBdr>
          <w:bottom w:val="single" w:sz="8" w:space="4" w:color="0F6B6D"/>
        </w:pBdr>
      </w:pPr>
      <w:r>
        <w:t>2. 已发现并处理的中度风险</w:t>
      </w:r>
    </w:p>
    <w:tbl>
      <w:tblPr>
        <w:tblW w:type="auto" w:w="0"/>
        <w:jc w:val="center"/>
        <w:tblLayout w:type="fixed"/>
        <w:tblLook w:firstColumn="1" w:firstRow="1" w:lastColumn="0" w:lastRow="0" w:noHBand="0" w:noVBand="1" w:val="04A0"/>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3345"/>
        <w:gridCol w:w="3345"/>
        <w:gridCol w:w="3345"/>
      </w:tblGrid>
      <w:tr>
        <w:trPr>
          <w:tblHeader w:val="true"/>
        </w:trPr>
        <w:tc>
          <w:tcPr>
            <w:tcW w:type="dxa" w:w="1701"/>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6"/>
              </w:rPr>
              <w:t>风险</w:t>
            </w:r>
          </w:p>
        </w:tc>
        <w:tc>
          <w:tcPr>
            <w:tcW w:type="dxa" w:w="4082"/>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6"/>
              </w:rPr>
              <w:t>旧文档可能产生的歧义</w:t>
            </w:r>
          </w:p>
        </w:tc>
        <w:tc>
          <w:tcPr>
            <w:tcW w:type="dxa" w:w="4422"/>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6"/>
              </w:rPr>
              <w:t>第九册处理</w:t>
            </w:r>
          </w:p>
        </w:tc>
      </w:tr>
      <w:tr>
        <w:trPr>
          <w:cantSplit/>
        </w:trPr>
        <w:tc>
          <w:tcPr>
            <w:tcW w:type="dxa" w:w="1701"/>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旧雨17身份包</w:t>
            </w:r>
          </w:p>
        </w:tc>
        <w:tc>
          <w:tcPr>
            <w:tcW w:type="dxa" w:w="408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第四册曾要求所有人物建立身份包，可能诱导生成旧雨17正脸。</w:t>
            </w:r>
          </w:p>
        </w:tc>
        <w:tc>
          <w:tcPr>
            <w:tcW w:type="dxa" w:w="442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改为“非正脸痕迹包”；guard.png不代表其本人。</w:t>
            </w:r>
          </w:p>
        </w:tc>
      </w:tr>
      <w:tr>
        <w:trPr>
          <w:cantSplit/>
        </w:trPr>
        <w:tc>
          <w:tcPr>
            <w:tcW w:type="dxa" w:w="1701"/>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玩家默认形象</w:t>
            </w:r>
          </w:p>
        </w:tc>
        <w:tc>
          <w:tcPr>
            <w:tcW w:type="dxa" w:w="408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家庭照与旧帖需要玩家形象，但玩家不应被固定。</w:t>
            </w:r>
          </w:p>
        </w:tc>
        <w:tc>
          <w:tcPr>
            <w:tcW w:type="dxa" w:w="442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提供A/B/C可选模板；核心证据使用手部、背影、反光和可替换头像槽。</w:t>
            </w:r>
          </w:p>
        </w:tc>
      </w:tr>
      <w:tr>
        <w:trPr>
          <w:cantSplit/>
        </w:trPr>
        <w:tc>
          <w:tcPr>
            <w:tcW w:type="dxa" w:w="1701"/>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潘博文年龄</w:t>
            </w:r>
          </w:p>
        </w:tc>
        <w:tc>
          <w:tcPr>
            <w:tcW w:type="dxa" w:w="408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旧式校服与2026临时身份可能被生成成两个年龄完全不同的人。</w:t>
            </w:r>
          </w:p>
        </w:tc>
        <w:tc>
          <w:tcPr>
            <w:tcW w:type="dxa" w:w="442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冻结同一面部身份，临时回归外观18—20岁；成年联网证件若出现则另属修正来源。</w:t>
            </w:r>
          </w:p>
        </w:tc>
      </w:tr>
      <w:tr>
        <w:trPr>
          <w:cantSplit/>
        </w:trPr>
        <w:tc>
          <w:tcPr>
            <w:tcW w:type="dxa" w:w="1701"/>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A3/A4视频混淆</w:t>
            </w:r>
          </w:p>
        </w:tc>
        <w:tc>
          <w:tcPr>
            <w:tcW w:type="dxa" w:w="408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两段视频都在旧园区，可能共用时长与揭示。</w:t>
            </w:r>
          </w:p>
        </w:tc>
        <w:tc>
          <w:tcPr>
            <w:tcW w:type="dxa" w:w="442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A3=26.4秒、隐藏玩家；A4=61.2秒、恢复交付和反光。</w:t>
            </w:r>
          </w:p>
        </w:tc>
      </w:tr>
      <w:tr>
        <w:trPr>
          <w:cantSplit/>
        </w:trPr>
        <w:tc>
          <w:tcPr>
            <w:tcW w:type="dxa" w:w="1701"/>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417帧索引</w:t>
            </w:r>
          </w:p>
        </w:tc>
        <w:tc>
          <w:tcPr>
            <w:tcW w:type="dxa" w:w="408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“第417帧”可能因帧率或一基/零基差异漂移。</w:t>
            </w:r>
          </w:p>
        </w:tc>
        <w:tc>
          <w:tcPr>
            <w:tcW w:type="dxa" w:w="442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恒定30fps，零基索引417=00:13.900，自动测试锁定。</w:t>
            </w:r>
          </w:p>
        </w:tc>
      </w:tr>
      <w:tr>
        <w:trPr>
          <w:cantSplit/>
        </w:trPr>
        <w:tc>
          <w:tcPr>
            <w:tcW w:type="dxa" w:w="1701"/>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周岚R3语音</w:t>
            </w:r>
          </w:p>
        </w:tc>
        <w:tc>
          <w:tcPr>
            <w:tcW w:type="dxa" w:w="408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重新录音会破坏“同一语音被修正”的证据。</w:t>
            </w:r>
          </w:p>
        </w:tc>
        <w:tc>
          <w:tcPr>
            <w:tcW w:type="dxa" w:w="442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必须从18.2秒R2母版局部覆盖，其他呼吸与混响保持。</w:t>
            </w:r>
          </w:p>
        </w:tc>
      </w:tr>
      <w:tr>
        <w:trPr>
          <w:cantSplit/>
        </w:trPr>
        <w:tc>
          <w:tcPr>
            <w:tcW w:type="dxa" w:w="1701"/>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蓝杯同源副本</w:t>
            </w:r>
          </w:p>
        </w:tc>
        <w:tc>
          <w:tcPr>
            <w:tcW w:type="dxa" w:w="408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小红书裁切、微信分享与单杯照可能被算多源。</w:t>
            </w:r>
          </w:p>
        </w:tc>
        <w:tc>
          <w:tcPr>
            <w:tcW w:type="dxa" w:w="442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全部继承src.blue_mug.object；2019厨房照与订单才是独立来源。</w:t>
            </w:r>
          </w:p>
        </w:tc>
      </w:tr>
      <w:tr>
        <w:trPr>
          <w:cantSplit/>
        </w:trPr>
        <w:tc>
          <w:tcPr>
            <w:tcW w:type="dxa" w:w="1701"/>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AI异常越权</w:t>
            </w:r>
          </w:p>
        </w:tc>
        <w:tc>
          <w:tcPr>
            <w:tcW w:type="dxa" w:w="408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生成瑕疵可能被当成新异常。</w:t>
            </w:r>
          </w:p>
        </w:tc>
        <w:tc>
          <w:tcPr>
            <w:tcW w:type="dxa" w:w="442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任何新事实必须回到第七/八册审批；模型错误直接退回。</w:t>
            </w:r>
          </w:p>
        </w:tc>
      </w:tr>
    </w:tbl>
    <w:p>
      <w:pPr>
        <w:spacing w:after="20"/>
      </w:pPr>
    </w:p>
    <w:p>
      <w:pPr>
        <w:pStyle w:val="Heading1"/>
        <w:pBdr>
          <w:bottom w:val="single" w:sz="8" w:space="4" w:color="0F6B6D"/>
        </w:pBdr>
      </w:pPr>
      <w:r>
        <w:t>3. PZ-001—PZ-030媒体依赖覆盖</w:t>
      </w:r>
    </w:p>
    <w:tbl>
      <w:tblPr>
        <w:tblW w:type="auto" w:w="0"/>
        <w:jc w:val="center"/>
        <w:tblLayout w:type="fixed"/>
        <w:tblLook w:firstColumn="1" w:firstRow="1" w:lastColumn="0" w:lastRow="0" w:noHBand="0" w:noVBand="1" w:val="04A0"/>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3345"/>
        <w:gridCol w:w="3345"/>
        <w:gridCol w:w="3345"/>
      </w:tblGrid>
      <w:tr>
        <w:trPr>
          <w:tblHeader w:val="true"/>
        </w:trPr>
        <w:tc>
          <w:tcPr>
            <w:tcW w:type="dxa" w:w="1701"/>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7"/>
              </w:rPr>
              <w:t>谜题段</w:t>
            </w:r>
          </w:p>
        </w:tc>
        <w:tc>
          <w:tcPr>
            <w:tcW w:type="dxa" w:w="4252"/>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7"/>
              </w:rPr>
              <w:t>关键媒体</w:t>
            </w:r>
          </w:p>
        </w:tc>
        <w:tc>
          <w:tcPr>
            <w:tcW w:type="dxa" w:w="4252"/>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7"/>
              </w:rPr>
              <w:t>覆盖结论</w:t>
            </w:r>
          </w:p>
        </w:tc>
      </w:tr>
      <w:tr>
        <w:trPr>
          <w:cantSplit/>
        </w:trPr>
        <w:tc>
          <w:tcPr>
            <w:tcW w:type="dxa" w:w="1701"/>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PZ-001—004</w:t>
            </w:r>
          </w:p>
        </w:tc>
        <w:tc>
          <w:tcPr>
            <w:tcW w:type="dxa" w:w="425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230917咖啡/票根、沈川头像、四人晚餐。</w:t>
            </w:r>
          </w:p>
        </w:tc>
        <w:tc>
          <w:tcPr>
            <w:tcW w:type="dxa" w:w="425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解锁、姓名、第四人脸与外部见证。</w:t>
            </w:r>
          </w:p>
        </w:tc>
      </w:tr>
      <w:tr>
        <w:trPr>
          <w:cantSplit/>
        </w:trPr>
        <w:tc>
          <w:tcPr>
            <w:tcW w:type="dxa" w:w="1701"/>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PZ-005—009</w:t>
            </w:r>
          </w:p>
        </w:tc>
        <w:tc>
          <w:tcPr>
            <w:tcW w:type="dxa" w:w="425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旧回答、guard.png、carrier.wav、走廊视频、第417帧。</w:t>
            </w:r>
          </w:p>
        </w:tc>
        <w:tc>
          <w:tcPr>
            <w:tcW w:type="dxa" w:w="425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417异常链与普通化备忘录补偿。</w:t>
            </w:r>
          </w:p>
        </w:tc>
      </w:tr>
      <w:tr>
        <w:trPr>
          <w:cantSplit/>
        </w:trPr>
        <w:tc>
          <w:tcPr>
            <w:tcW w:type="dxa" w:w="1701"/>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PZ-010—016</w:t>
            </w:r>
          </w:p>
        </w:tc>
        <w:tc>
          <w:tcPr>
            <w:tcW w:type="dxa" w:w="425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12现场照、地图普通基准、周岚语音、PB来电、A3视频。</w:t>
            </w:r>
          </w:p>
        </w:tc>
        <w:tc>
          <w:tcPr>
            <w:tcW w:type="dxa" w:w="425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现实地点、时间签名、家庭盲证与第二持机者。</w:t>
            </w:r>
          </w:p>
        </w:tc>
      </w:tr>
      <w:tr>
        <w:trPr>
          <w:cantSplit/>
        </w:trPr>
        <w:tc>
          <w:tcPr>
            <w:tcW w:type="dxa" w:w="1701"/>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PZ-017—023</w:t>
            </w:r>
          </w:p>
        </w:tc>
        <w:tc>
          <w:tcPr>
            <w:tcW w:type="dxa" w:w="425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关系连续性照片、共同位置、交付视频、反光、阿序语音。</w:t>
            </w:r>
          </w:p>
        </w:tc>
        <w:tc>
          <w:tcPr>
            <w:tcW w:type="dxa" w:w="425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玩家关系、手机交付、RETURN风险与PB责任。</w:t>
            </w:r>
          </w:p>
        </w:tc>
      </w:tr>
      <w:tr>
        <w:trPr>
          <w:cantSplit/>
        </w:trPr>
        <w:tc>
          <w:tcPr>
            <w:tcW w:type="dxa" w:w="1701"/>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PZ-024—030</w:t>
            </w:r>
          </w:p>
        </w:tc>
        <w:tc>
          <w:tcPr>
            <w:tcW w:type="dxa" w:w="425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沈川未标语音、出生手册、机构原片、玩家独立语音、钥匙余波。</w:t>
            </w:r>
          </w:p>
        </w:tc>
        <w:tc>
          <w:tcPr>
            <w:tcW w:type="dxa" w:w="425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三路线操作与分布式见证。</w:t>
            </w:r>
          </w:p>
        </w:tc>
      </w:tr>
    </w:tbl>
    <w:p>
      <w:pPr>
        <w:spacing w:after="20"/>
      </w:pPr>
    </w:p>
    <w:p>
      <w:pPr>
        <w:pStyle w:val="Heading1"/>
        <w:pBdr>
          <w:bottom w:val="single" w:sz="8" w:space="4" w:color="0F6B6D"/>
        </w:pBdr>
      </w:pPr>
      <w:r>
        <w:t>4. 证据独立性抽样</w:t>
      </w:r>
    </w:p>
    <w:tbl>
      <w:tblPr>
        <w:tblW w:type="auto" w:w="0"/>
        <w:jc w:val="center"/>
        <w:tblLayout w:type="fixed"/>
        <w:tblLook w:firstColumn="1" w:firstRow="1" w:lastColumn="0" w:lastRow="0" w:noHBand="0" w:noVBand="1" w:val="04A0"/>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2007"/>
        <w:gridCol w:w="2007"/>
        <w:gridCol w:w="2007"/>
        <w:gridCol w:w="2007"/>
        <w:gridCol w:w="2007"/>
      </w:tblGrid>
      <w:tr>
        <w:trPr>
          <w:tblHeader w:val="true"/>
        </w:trPr>
        <w:tc>
          <w:tcPr>
            <w:tcW w:type="dxa" w:w="1814"/>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6"/>
              </w:rPr>
              <w:t>事实</w:t>
            </w:r>
          </w:p>
        </w:tc>
        <w:tc>
          <w:tcPr>
            <w:tcW w:type="dxa" w:w="2324"/>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6"/>
              </w:rPr>
              <w:t>来源1</w:t>
            </w:r>
          </w:p>
        </w:tc>
        <w:tc>
          <w:tcPr>
            <w:tcW w:type="dxa" w:w="2324"/>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6"/>
              </w:rPr>
              <w:t>来源2</w:t>
            </w:r>
          </w:p>
        </w:tc>
        <w:tc>
          <w:tcPr>
            <w:tcW w:type="dxa" w:w="2494"/>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6"/>
              </w:rPr>
              <w:t>来源3</w:t>
            </w:r>
          </w:p>
        </w:tc>
        <w:tc>
          <w:tcPr>
            <w:tcW w:type="dxa" w:w="1474"/>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6"/>
              </w:rPr>
              <w:t>结论</w:t>
            </w:r>
          </w:p>
        </w:tc>
      </w:tr>
      <w:tr>
        <w:trPr>
          <w:cantSplit/>
        </w:trPr>
        <w:tc>
          <w:tcPr>
            <w:tcW w:type="dxa" w:w="1814"/>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沈川家庭关系</w:t>
            </w:r>
          </w:p>
        </w:tc>
        <w:tc>
          <w:tcPr>
            <w:tcW w:type="dxa" w:w="2324"/>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周岚蓝杯语音</w:t>
            </w:r>
          </w:p>
        </w:tc>
        <w:tc>
          <w:tcPr>
            <w:tcW w:type="dxa" w:w="2324"/>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2019厨房原片</w:t>
            </w:r>
          </w:p>
        </w:tc>
        <w:tc>
          <w:tcPr>
            <w:tcW w:type="dxa" w:w="2494"/>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纸质出生/入学材料</w:t>
            </w:r>
          </w:p>
        </w:tc>
        <w:tc>
          <w:tcPr>
            <w:tcW w:type="dxa" w:w="1474"/>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独立性成立。</w:t>
            </w:r>
          </w:p>
        </w:tc>
      </w:tr>
      <w:tr>
        <w:trPr>
          <w:cantSplit/>
        </w:trPr>
        <w:tc>
          <w:tcPr>
            <w:tcW w:type="dxa" w:w="1814"/>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玩家在最终现场</w:t>
            </w:r>
          </w:p>
        </w:tc>
        <w:tc>
          <w:tcPr>
            <w:tcW w:type="dxa" w:w="2324"/>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交付视频反光</w:t>
            </w:r>
          </w:p>
        </w:tc>
        <w:tc>
          <w:tcPr>
            <w:tcW w:type="dxa" w:w="2324"/>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玩家手机位置历史</w:t>
            </w:r>
          </w:p>
        </w:tc>
        <w:tc>
          <w:tcPr>
            <w:tcW w:type="dxa" w:w="2494"/>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阿序当日语音/对话</w:t>
            </w:r>
          </w:p>
        </w:tc>
        <w:tc>
          <w:tcPr>
            <w:tcW w:type="dxa" w:w="1474"/>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独立性成立。</w:t>
            </w:r>
          </w:p>
        </w:tc>
      </w:tr>
      <w:tr>
        <w:trPr>
          <w:cantSplit/>
        </w:trPr>
        <w:tc>
          <w:tcPr>
            <w:tcW w:type="dxa" w:w="1814"/>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潘博文持钥匙</w:t>
            </w:r>
          </w:p>
        </w:tc>
        <w:tc>
          <w:tcPr>
            <w:tcW w:type="dxa" w:w="2324"/>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417帧</w:t>
            </w:r>
          </w:p>
        </w:tc>
        <w:tc>
          <w:tcPr>
            <w:tcW w:type="dxa" w:w="2324"/>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PB未知来电</w:t>
            </w:r>
          </w:p>
        </w:tc>
        <w:tc>
          <w:tcPr>
            <w:tcW w:type="dxa" w:w="2494"/>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A4反向走出/结局钥匙</w:t>
            </w:r>
          </w:p>
        </w:tc>
        <w:tc>
          <w:tcPr>
            <w:tcW w:type="dxa" w:w="1474"/>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同一人物锚点跨媒体成立；注意部分共源。</w:t>
            </w:r>
          </w:p>
        </w:tc>
      </w:tr>
      <w:tr>
        <w:trPr>
          <w:cantSplit/>
        </w:trPr>
        <w:tc>
          <w:tcPr>
            <w:tcW w:type="dxa" w:w="1814"/>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分布式见证</w:t>
            </w:r>
          </w:p>
        </w:tc>
        <w:tc>
          <w:tcPr>
            <w:tcW w:type="dxa" w:w="2324"/>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陈屿识声</w:t>
            </w:r>
          </w:p>
        </w:tc>
        <w:tc>
          <w:tcPr>
            <w:tcW w:type="dxa" w:w="2324"/>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周岚家庭原件</w:t>
            </w:r>
          </w:p>
        </w:tc>
        <w:tc>
          <w:tcPr>
            <w:tcW w:type="dxa" w:w="2494"/>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机构姓名与活动原片</w:t>
            </w:r>
          </w:p>
        </w:tc>
        <w:tc>
          <w:tcPr>
            <w:tcW w:type="dxa" w:w="1474"/>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6"/>
              </w:rPr>
              <w:t>来源异构成立。</w:t>
            </w:r>
          </w:p>
        </w:tc>
      </w:tr>
    </w:tbl>
    <w:p>
      <w:pPr>
        <w:spacing w:after="20"/>
      </w:pPr>
    </w:p>
    <w:p>
      <w:pPr>
        <w:pStyle w:val="Heading1"/>
        <w:pBdr>
          <w:bottom w:val="single" w:sz="8" w:space="4" w:color="0F6B6D"/>
        </w:pBdr>
      </w:pPr>
      <w:r>
        <w:t>5. 尚未解除的生产门禁</w:t>
      </w:r>
    </w:p>
    <w:tbl>
      <w:tblPr>
        <w:tblW w:type="auto" w:w="0"/>
        <w:jc w:val="center"/>
        <w:tblLayout w:type="fixed"/>
        <w:tblLook w:firstColumn="1" w:firstRow="1" w:lastColumn="0" w:lastRow="0" w:noHBand="0" w:noVBand="1" w:val="04A0"/>
        <w:tblBorders>
          <w:top w:val="single" w:sz="4" w:space="0" w:color="B8C4CF"/>
          <w:left w:val="single" w:sz="4" w:space="0" w:color="B8C4CF"/>
          <w:bottom w:val="single" w:sz="4" w:space="0" w:color="B8C4CF"/>
          <w:right w:val="single" w:sz="4" w:space="0" w:color="B8C4CF"/>
          <w:insideH w:val="single" w:sz="4" w:space="0" w:color="B8C4CF"/>
          <w:insideV w:val="single" w:sz="4" w:space="0" w:color="B8C4CF"/>
        </w:tblBorders>
      </w:tblPr>
      <w:tblGrid>
        <w:gridCol w:w="3345"/>
        <w:gridCol w:w="3345"/>
        <w:gridCol w:w="3345"/>
      </w:tblGrid>
      <w:tr>
        <w:trPr>
          <w:tblHeader w:val="true"/>
        </w:trPr>
        <w:tc>
          <w:tcPr>
            <w:tcW w:type="dxa" w:w="1814"/>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7"/>
              </w:rPr>
              <w:t>门禁</w:t>
            </w:r>
          </w:p>
        </w:tc>
        <w:tc>
          <w:tcPr>
            <w:tcW w:type="dxa" w:w="3969"/>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7"/>
              </w:rPr>
              <w:t>原因</w:t>
            </w:r>
          </w:p>
        </w:tc>
        <w:tc>
          <w:tcPr>
            <w:tcW w:type="dxa" w:w="4422"/>
            <w:shd w:fill="152238"/>
            <w:vAlign w:val="center"/>
            <w:tcMar>
              <w:top w:w="70" w:type="dxa"/>
              <w:start w:w="90" w:type="dxa"/>
              <w:bottom w:w="70" w:type="dxa"/>
              <w:end w:w="90" w:type="dxa"/>
            </w:tcMar>
          </w:tcPr>
          <w:p>
            <w:pPr>
              <w:jc w:val="center"/>
            </w:pPr>
            <w:r>
              <w:rPr>
                <w:rFonts w:ascii="Noto Sans CJK SC" w:hAnsi="Noto Sans CJK SC" w:eastAsia="Noto Sans CJK SC"/>
                <w:b/>
                <w:i w:val="0"/>
                <w:color w:val="FFFFFF"/>
                <w:sz w:val="17"/>
              </w:rPr>
              <w:t>解除条件</w:t>
            </w:r>
          </w:p>
        </w:tc>
      </w:tr>
      <w:tr>
        <w:trPr>
          <w:cantSplit/>
        </w:trPr>
        <w:tc>
          <w:tcPr>
            <w:tcW w:type="dxa" w:w="1814"/>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现实地点坐标</w:t>
            </w:r>
          </w:p>
        </w:tc>
        <w:tc>
          <w:tcPr>
            <w:tcW w:type="dxa" w:w="3969"/>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现有正史冻结为虚构“旧滨河职教园外围”，未选择最终公共空间。</w:t>
            </w:r>
          </w:p>
        </w:tc>
        <w:tc>
          <w:tcPr>
            <w:tcW w:type="dxa" w:w="442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选定地点后更新loc.tj.old_riverside、地图、12现场照、A3/A4视频和坐标谜题。</w:t>
            </w:r>
          </w:p>
        </w:tc>
      </w:tr>
      <w:tr>
        <w:trPr>
          <w:cantSplit/>
        </w:trPr>
        <w:tc>
          <w:tcPr>
            <w:tcW w:type="dxa" w:w="1814"/>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正式角色面孔</w:t>
            </w:r>
          </w:p>
        </w:tc>
        <w:tc>
          <w:tcPr>
            <w:tcW w:type="dxa" w:w="3969"/>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本册只冻结文字身份包，尚未批准实际参考图。</w:t>
            </w:r>
          </w:p>
        </w:tc>
        <w:tc>
          <w:tcPr>
            <w:tcW w:type="dxa" w:w="442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完成身份参考生成并人工选定。</w:t>
            </w:r>
          </w:p>
        </w:tc>
      </w:tr>
      <w:tr>
        <w:trPr>
          <w:cantSplit/>
        </w:trPr>
        <w:tc>
          <w:tcPr>
            <w:tcW w:type="dxa" w:w="1814"/>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玩家模板</w:t>
            </w:r>
          </w:p>
        </w:tc>
        <w:tc>
          <w:tcPr>
            <w:tcW w:type="dxa" w:w="3969"/>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需要在不固定性别的前提下建立三套可选头像。</w:t>
            </w:r>
          </w:p>
        </w:tc>
        <w:tc>
          <w:tcPr>
            <w:tcW w:type="dxa" w:w="4422"/>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A/B/C模板均通过家庭照与R阶段测试。</w:t>
            </w:r>
          </w:p>
        </w:tc>
      </w:tr>
      <w:tr>
        <w:trPr>
          <w:cantSplit/>
        </w:trPr>
        <w:tc>
          <w:tcPr>
            <w:tcW w:type="dxa" w:w="1814"/>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关键视频</w:t>
            </w:r>
          </w:p>
        </w:tc>
        <w:tc>
          <w:tcPr>
            <w:tcW w:type="dxa" w:w="3969"/>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图生视频存在人脸/建筑漂移风险。</w:t>
            </w:r>
          </w:p>
        </w:tc>
        <w:tc>
          <w:tcPr>
            <w:tcW w:type="dxa" w:w="4422"/>
            <w:shd w:fill="F4F7FA"/>
            <w:tcMar>
              <w:top w:w="70" w:type="dxa"/>
              <w:start w:w="90" w:type="dxa"/>
              <w:bottom w:w="70" w:type="dxa"/>
              <w:end w:w="90" w:type="dxa"/>
            </w:tcMar>
            <w:vAlign w:val="top"/>
          </w:tcPr>
          <w:p>
            <w:pPr>
              <w:spacing w:after="0" w:line="264" w:lineRule="auto"/>
            </w:pPr>
            <w:r>
              <w:rPr>
                <w:rFonts w:ascii="Noto Sans CJK SC" w:hAnsi="Noto Sans CJK SC" w:eastAsia="Noto Sans CJK SC"/>
                <w:b w:val="0"/>
                <w:i w:val="0"/>
                <w:color w:val="28323C"/>
                <w:sz w:val="17"/>
              </w:rPr>
              <w:t>先批准关键帧；不通过则使用静态/实拍方案。</w:t>
            </w:r>
          </w:p>
        </w:tc>
      </w:tr>
    </w:tbl>
    <w:p>
      <w:pPr>
        <w:spacing w:after="20"/>
      </w:pPr>
    </w:p>
    <w:p>
      <w:pPr>
        <w:pStyle w:val="Heading1"/>
        <w:pBdr>
          <w:bottom w:val="single" w:sz="8" w:space="4" w:color="0F6B6D"/>
        </w:pBdr>
      </w:pPr>
      <w:r>
        <w:t>6. 终审结论</w:t>
      </w:r>
    </w:p>
    <w:tbl>
      <w:tblPr>
        <w:tblW w:type="auto" w:w="0"/>
        <w:tblLayout w:type="autofit"/>
        <w:tblLook w:firstColumn="1" w:firstRow="1" w:lastColumn="0" w:lastRow="0" w:noHBand="0" w:noVBand="1" w:val="04A0"/>
        <w:tblBorders>
          <w:top w:val="single" w:sz="8" w:space="0" w:color="2E7D4F"/>
          <w:left w:val="single" w:sz="8" w:space="0" w:color="2E7D4F"/>
          <w:bottom w:val="single" w:sz="8" w:space="0" w:color="2E7D4F"/>
          <w:right w:val="single" w:sz="8" w:space="0" w:color="2E7D4F"/>
          <w:insideH w:val="single" w:sz="8" w:space="0" w:color="2E7D4F"/>
          <w:insideV w:val="single" w:sz="8" w:space="0" w:color="2E7D4F"/>
        </w:tblBorders>
      </w:tblPr>
      <w:tblGrid>
        <w:gridCol w:w="10036"/>
      </w:tblGrid>
      <w:tr>
        <w:trPr>
          <w:tblHeader w:val="true"/>
        </w:trPr>
        <w:tc>
          <w:tcPr>
            <w:tcW w:type="dxa" w:w="10036"/>
            <w:shd w:fill="E3F1E8"/>
            <w:tcMar>
              <w:top w:w="110" w:type="dxa"/>
              <w:start w:w="150" w:type="dxa"/>
              <w:bottom w:w="110" w:type="dxa"/>
              <w:end w:w="150" w:type="dxa"/>
            </w:tcMar>
          </w:tcPr>
          <w:p>
            <w:r>
              <w:rPr>
                <w:rFonts w:ascii="Noto Sans CJK SC" w:hAnsi="Noto Sans CJK SC" w:eastAsia="Noto Sans CJK SC"/>
                <w:b/>
                <w:i w:val="0"/>
                <w:color w:val="2E7D4F"/>
                <w:sz w:val="20"/>
              </w:rPr>
              <w:t xml:space="preserve">审计结果  </w:t>
            </w:r>
            <w:r>
              <w:rPr>
                <w:rFonts w:ascii="Noto Sans CJK SC" w:hAnsi="Noto Sans CJK SC" w:eastAsia="Noto Sans CJK SC"/>
                <w:b w:val="0"/>
                <w:i w:val="0"/>
                <w:color w:val="28323C"/>
                <w:sz w:val="20"/>
              </w:rPr>
              <w:t>未发现需要推翻第一至第八册世界观、人物关系、五幕结构或30项谜题的硬冲突。第九册已把所有已知媒体歧义转换为生产规则、资产ID或门禁。正式生图前必须先批准人物、地点与物件参考包。</w:t>
            </w:r>
          </w:p>
        </w:tc>
      </w:tr>
    </w:tbl>
    <w:p>
      <w:pPr>
        <w:spacing w:after="20"/>
      </w:pPr>
    </w:p>
    <w:p>
      <w:pPr>
        <w:pStyle w:val="ListBullet"/>
        <w:spacing w:before="0" w:after="50" w:line="283" w:lineRule="auto"/>
      </w:pPr>
      <w:r>
        <w:rPr>
          <w:rFonts w:ascii="Noto Sans CJK SC" w:hAnsi="Noto Sans CJK SC" w:eastAsia="Noto Sans CJK SC"/>
          <w:b w:val="0"/>
          <w:i w:val="0"/>
          <w:color w:val="28323C"/>
          <w:sz w:val="20"/>
        </w:rPr>
        <w:t>P0媒体均有明确场景、sourceRoot、人物/地点/物件引用和补偿路径。</w:t>
      </w:r>
    </w:p>
    <w:p>
      <w:pPr>
        <w:pStyle w:val="ListBullet"/>
        <w:spacing w:before="0" w:after="50" w:line="283" w:lineRule="auto"/>
      </w:pPr>
      <w:r>
        <w:rPr>
          <w:rFonts w:ascii="Noto Sans CJK SC" w:hAnsi="Noto Sans CJK SC" w:eastAsia="Noto Sans CJK SC"/>
          <w:b w:val="0"/>
          <w:i w:val="0"/>
          <w:color w:val="28323C"/>
          <w:sz w:val="20"/>
        </w:rPr>
        <w:t>旧雨17、玩家与潘博文三类高风险视觉身份已获得不冲突的表现规则。</w:t>
      </w:r>
    </w:p>
    <w:p>
      <w:pPr>
        <w:pStyle w:val="ListBullet"/>
        <w:spacing w:before="0" w:after="50" w:line="283" w:lineRule="auto"/>
      </w:pPr>
      <w:r>
        <w:rPr>
          <w:rFonts w:ascii="Noto Sans CJK SC" w:hAnsi="Noto Sans CJK SC" w:eastAsia="Noto Sans CJK SC"/>
          <w:b w:val="0"/>
          <w:i w:val="0"/>
          <w:color w:val="28323C"/>
          <w:sz w:val="20"/>
        </w:rPr>
        <w:t>A3/A4视频与周岚语音的版本谱系可通过自动测试验证。</w:t>
      </w:r>
    </w:p>
    <w:p>
      <w:pPr>
        <w:pStyle w:val="ListBullet"/>
        <w:spacing w:before="0" w:after="50" w:line="283" w:lineRule="auto"/>
      </w:pPr>
      <w:r>
        <w:rPr>
          <w:rFonts w:ascii="Noto Sans CJK SC" w:hAnsi="Noto Sans CJK SC" w:eastAsia="Noto Sans CJK SC"/>
          <w:b w:val="0"/>
          <w:i w:val="0"/>
          <w:color w:val="28323C"/>
          <w:sz w:val="20"/>
        </w:rPr>
        <w:t>R0—R5只改变授权对象，媒体不会用统一故障滤镜掩盖逻辑。</w:t>
      </w:r>
    </w:p>
    <w:p>
      <w:pPr>
        <w:pStyle w:val="ListBullet"/>
        <w:spacing w:before="0" w:after="50" w:line="283" w:lineRule="auto"/>
      </w:pPr>
      <w:r>
        <w:rPr>
          <w:rFonts w:ascii="Noto Sans CJK SC" w:hAnsi="Noto Sans CJK SC" w:eastAsia="Noto Sans CJK SC"/>
          <w:b w:val="0"/>
          <w:i w:val="0"/>
          <w:color w:val="28323C"/>
          <w:sz w:val="20"/>
        </w:rPr>
        <w:t>现实地点最终坐标仍是唯一需要在大规模生产前解除的外部制作门禁。</w:t>
      </w:r>
    </w:p>
    <w:sectPr w:rsidR="00FC693F" w:rsidRPr="0006063C" w:rsidSect="00034616">
      <w:headerReference w:type="default" r:id="rId9"/>
      <w:footerReference w:type="default" r:id="rId10"/>
      <w:pgSz w:w="11906" w:h="16838"/>
      <w:pgMar w:top="879" w:right="935" w:bottom="879"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第 </w:t>
      <w:fldChar w:fldCharType="begin"/>
      <w:instrText xml:space="preserve"> PAGE </w:instrText>
      <w:fldChar w:fldCharType="end"/>
    </w:r>
    <w:r>
      <w:rPr>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B9C5CF"/>
      </w:pBdr>
    </w:pPr>
    <w:r/>
    <w:r>
      <w:rPr>
        <w:rFonts w:ascii="Noto Sans CJK SC" w:hAnsi="Noto Sans CJK SC" w:eastAsia="Noto Sans CJK SC"/>
        <w:b/>
        <w:i w:val="0"/>
        <w:color w:val="68737D"/>
        <w:sz w:val="16"/>
      </w:rPr>
      <w:t>《11:52》 · Logic Audit · Media Continuity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SC" w:hAnsi="Noto Sans CJK SC" w:eastAsia="Noto Sans CJK SC"/>
      <w:color w:val="2832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152238"/>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CJK SC" w:hAnsi="Noto Sans CJK SC" w:eastAsia="Noto Sans CJK SC"/>
      <w:b/>
      <w:bCs/>
      <w:color w:val="0F6B6D"/>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SC" w:hAnsi="Noto Sans CJK SC" w:eastAsia="Noto Sans CJK SC"/>
      <w:b/>
      <w:bCs/>
      <w:color w:val="1522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20"/>
      <w:contextualSpacing/>
    </w:pPr>
    <w:rPr>
      <w:rFonts w:asciiTheme="majorHAnsi" w:eastAsiaTheme="majorEastAsia" w:hAnsiTheme="majorHAnsi" w:cstheme="majorBidi" w:ascii="Noto Sans CJK SC" w:hAnsi="Noto Sans CJK SC" w:eastAsia="Noto Sans CJK SC"/>
      <w:b/>
      <w:color w:val="15223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60"/>
    </w:pPr>
    <w:rPr>
      <w:rFonts w:asciiTheme="majorHAnsi" w:eastAsiaTheme="majorEastAsia" w:hAnsiTheme="majorHAnsi" w:cstheme="majorBidi" w:ascii="Noto Sans CJK SC" w:hAnsi="Noto Sans CJK SC" w:eastAsia="Noto Sans CJK SC"/>
      <w:b/>
      <w:i/>
      <w:iCs/>
      <w:color w:val="0F6B6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24" w:lineRule="auto" w:after="200"/>
    </w:pPr>
    <w:rPr>
      <w:rFonts w:ascii="Noto Sans CJK SC" w:hAnsi="Noto Sans CJK SC" w:eastAsia="Noto Sans CJK SC"/>
      <w:color w:val="152238"/>
      <w:sz w:val="24"/>
    </w:rPr>
  </w:style>
  <w:style w:type="paragraph" w:customStyle="1" w:styleId="Small">
    <w:name w:val="Small"/>
    <w:pPr>
      <w:spacing w:line="269" w:lineRule="auto" w:after="60"/>
    </w:pPr>
    <w:rPr>
      <w:rFonts w:ascii="Noto Sans CJK SC" w:hAnsi="Noto Sans CJK SC" w:eastAsia="Noto Sans CJK SC"/>
      <w:color w:val="68737D"/>
      <w:sz w:val="17"/>
    </w:rPr>
  </w:style>
  <w:style w:type="paragraph" w:customStyle="1" w:styleId="CodeBlock">
    <w:name w:val="CodeBlock"/>
    <w:pPr>
      <w:spacing w:after="60" w:line="252" w:lineRule="auto"/>
      <w:ind w:left="255" w:right="255"/>
    </w:pPr>
    <w:rPr>
      <w:rFonts w:ascii="DejaVu Sans Mono" w:hAnsi="DejaVu Sans Mono" w:eastAsia="Noto Sans Mono CJK SC"/>
      <w:color w:val="28323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