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 7:59 AM (MYT)</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BEBZA</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Future Edge</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Azimkhan Bekassyl</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beka2007azimut@gmail.com · +7 701 770 7593</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Xiamen University Malaysia (XMUM)</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https://sdc-2026-future-edge.replit.app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https://github.com/Magisterofdrinkingcoffee/sdc2026-future-edge (public)</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user works in a React single-page app (built with Vite). It calls a Python FastAPI backend over HTTPS; both are served from one Replit autoscale deployment. A CV upload is read on the server with pypdf or a built-in Word reader, and personal data (name, email, phone, IC number, age, gender) is removed before any matching. Only for photos or complex layouts, and only when a key is configured, the redacted content is sent to the Google Gemini API, which returns phrases in a fixed JSON schema; every phrase is checked against the CV's own text.</w:t>
            </w:r>
          </w:p>
          <w:p>
            <w:pPr>
              <w:spacing w:before="0" w:after="60"/>
            </w:pPr>
            <w:r>
              <w:rPr>
                <w:rFonts w:ascii="Times New Roman" w:eastAsia="Times New Roman" w:hAnsi="Times New Roman" w:cs="Times New Roman"/>
                <w:sz w:val="21"/>
                <w:szCs w:val="21"/>
              </w:rPr>
              <w:t xml:space="preserve">Matched skills go to three models that run inside the backend: Model 1 (AI-exposure classifier trained on O*NET tasks, stored as JSON), Model 2 (damped trend forecast on monthly arXiv paper counts, refreshable live from the arXiv API) and Model 3 (exact scoring of the Catch the AI exercise). The scoring engine combines them with WEF, DOSM and MyCOL job-market figures into an Edge Score with a low–high range for two scenarios, then builds an ordered pathway from 53 checked learning resources. Catalogs are JSON files in the repository; no database, no stored user data. Diagram: Appendix A.</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Python 3.11+</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Backend, models, data tools</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PSF License</w:t>
            </w:r>
          </w:p>
        </w:tc>
      </w:tr>
      <w:tr w:rsidR="00D151A5" w14:paraId="459D295C"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JavaScript (ES2022) / Node.js 20+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Frontend build</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2EB39EEB"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FastAPI 0.115.6</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REST API</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0366C36"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Uvicorn 0.32.1</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ASGI web server</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r w:rsidR="00D151A5" w14:paraId="096D2325"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Pydantic 2.10.4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Request validation</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python-multipart 0.0.20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CV file upload</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pypdf 5.1.0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Reading PDF CVs (chosen over PyMuPDF to avoid AGPL)</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httpx 0.28.1 · pytest 8.3.4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API tests (49 automated tests)</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 · 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React 18 · Vite 5.4 · Tailwind CSS 3</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User interface</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scikit-learn · pandas · matplotlib</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Training and evaluating Model 1 only (not in the running app)</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 · BSD-3-Clause · PSF-based</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arXiv API (Cornell University)</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Monthly counts of new papers for 10 AI-capability topics – the AI-trend signal (Model 2); refreshable from the app</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w:t>
            </w:r>
          </w:p>
        </w:tc>
      </w:tr>
      <w:tr w:rsidR="00D151A5" w14:paraId="779769FA"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API (Google AI Studio)</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Optional: read photo or complex-layout CVs into a fixed JSON schema. Off unless GEMINI_API_KEY is set; the app works without it</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 tier</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 (official SDC sponsor)</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Workspace and Shell (install, build, tests, link checks), Secrets, and hosting of the live prototype via .replit → build.sh → start.sh</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Autoscale deployment, 2 vCPU / 4 GiB · Asia</w:t>
            </w:r>
          </w:p>
        </w:tc>
      </w:tr>
      <w:tr w:rsidR="00D151A5" w14:paraId="5921236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GitHub</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Source code and version history</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 · public repository</w:t>
            </w:r>
          </w:p>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1 – AI-exposure classifier (TF-IDF + multinomial logistic regression)</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trained with scikit-learn on CPU</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Self-trained</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 (our code); training labels MIT</w:t>
            </w:r>
          </w:p>
        </w:tc>
      </w:tr>
      <w:tr w:rsidR="00D151A5" w14:paraId="540368F5"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2 – damped log-linear trend forecaster</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(plain Python)</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Self-built, fitted on arXiv counts</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71C73CEC"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3 – Catch the AI scoring</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(rule-based, known answers)</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Self-built</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32D463B0"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(default gemini-3.8-flash, configurable)</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Pre-trained, called by API (optional CV reading)</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Gemini API Terms of Service</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GPTs-are-GPTs task exposure labels (19,265 tasks)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github.com/openai/GPTs-are-GPTs</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MIT</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0BE0E19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O*NET task statements and occupations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onetcenter.org</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CC BY 4.0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03D6BB9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arXiv monthly paper counts, Oct 2023 – Sep 2026</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export.arxiv.org/api (collected 22 Oct 2026)</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(self-collected counts)</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arXiv API Terms of Use</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3E490F8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 Future of Jobs Report 2025 (incl. Malaysia profile)</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weforum.org</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report</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 terms; cited by page</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DOSM Salaries &amp; Wages Survey 2025; Labour Force Survey</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open.dosm.gov.my</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Malaysia open data terms</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TalentCorp MyCOL 2024/2025 critical occupations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talentcorp.com.my</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report</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Cited</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Team role dataset (25 roles: titles, skills, SDG tags, descriptions)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src/database/gemini-code-…csv</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Self-made, AI-assisted (Gemini)</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Skill, role, SDG and course catalogs; 3 sample CVs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src/backend/data/</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Self-made; sample people are synthetic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DejaVu Sans" w:eastAsia="DejaVu Sans" w:hAnsi="DejaVu Sans" w:cs="DejaVu Sans"/>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Claude (Anthropic) – Claude Code / claude.ai</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Writing and refactoring code and tests, model cards, README, submission documents, and the pitch-video animation, music and sound effects (synthesized in code)</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Major</w:t>
            </w:r>
          </w:p>
        </w:tc>
      </w:tr>
      <w:tr w:rsidR="00D151A5" w14:paraId="69A988B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(chat)</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First draft of the 25-role dataset (titles, skills, SDG tags, descriptions)</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Moderate</w:t>
            </w:r>
          </w:p>
        </w:tc>
      </w:tr>
      <w:tr w:rsidR="00D151A5" w14:paraId="4129CDAD"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Kokoro TTS v1.0 (open source, Apache-2.0), voice "am_michael"</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AI-generated narrator voice for the pitch video</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Moderate</w:t>
            </w:r>
          </w:p>
        </w:tc>
      </w:tr>
      <w:tr w:rsidR="00D151A5" w14:paraId="2E9E27F0"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 Agent</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Started an automatic "port to Replit" step on import; stopped after 12 seconds and its changes were reverted</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Minor</w:t>
            </w:r>
          </w:p>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team chose the idea, the models and every design rule, and reviewed each change before it was merged. AI-written code is covered by 49 automated tests and held-out evaluations (Model 1 cross-validation, Model 2 backtest). We replaced AI-drafted salary and risk estimates with real WEF, DOSM and MyCOL figures, and checked every course link on 24 October 2026. The running app uses no generative model to make recommendations, so it cannot invent jobs, courses or statistics.</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DejaVu Sans" w:eastAsia="DejaVu Sans" w:hAnsi="DejaVu Sans" w:cs="DejaVu Sans"/>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Platform (workspace, Shell, Secrets, Deployments)</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Development, testing and link checking in the Replit Shell; live prototype hosted as a Replit autoscale deployment (proof: Appendix B)</w:t>
            </w:r>
          </w:p>
        </w:tc>
      </w:tr>
      <w:tr w:rsidR="00D151A5" w14:paraId="317D9C9E"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RunPod</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US$25 GPU credit</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Not used – no part of the project needs a GPU (Participant Handbook 9.4)</w:t>
            </w:r>
          </w:p>
        </w:tc>
      </w:tr>
      <w:tr w:rsidR="00D151A5" w14:paraId="57A32E56"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Aiversecity (domain sponsor)</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Problem statement and rubric</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Defined the six must-have features we built</w:t>
            </w:r>
          </w:p>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Replit is essential to how the prototype is delivered: it is where judges reach the live app, and where we ran the build, tests and link checks with open internet access. The application code itself is portable – a standard FastAPI and React project with no Replit-specific dependencies – so it could also run on another host. We chose this on purpose, so the project survives beyond the hackathon.</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app collects only what the user uploads: a CV file or pasted text, skill levels, a goal role and Catch the AI answers. The CV is read in memory once and is not saved; there is no database, account or tracking of personal data. Before matching, the name line, email, phone, IC number, age, date of birth and gender are removed, so matching never sees protected characteristics. If the optional Gemini key is set, PDFs with readable text are sent to Gemini as redacted text; photos and scanned PDFs have no text layer and are sent as images. The user's progress (skills, XP, badges) is kept only in their own browser's local storage. The API key is stored in Replit Secrets, never in the repository. Our demo uses synthetic CVs only.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Bias and scope: Model 1's labels describe US jobs in 2023; we apply them to Malaysia and use Malaysian job-market data alongside. Accuracy: Model 1 is 73.4% accurate on unseen occupations and weakest on chatbot-only tasks; Model 2 uses research papers as a proxy for AI capability and cannot foresee sudden breakthroughs; Catch the AI is one short exercise. Hallucination: mitigated by design – no generative model writes recommendations, and Gemini's CV phrases are rejected unless found in the CV text. Provider dependency: Gemini is optional with an offline fallback; if an arXiv refresh fails, the last good snapshot is kept. Users always see two scenarios, low–high ranges, a plain-English reason for every number, and a clear message that results are estimates, never hiring decisions.</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Appendix A – System Block Diagram</w:t>
      </w:r>
    </w:p>
    <w:p>
      <w:pPr>
        <w:spacing w:before="0" w:after="120"/>
      </w:pPr>
      <w:r>
        <w:rPr>
          <w:rFonts w:ascii="Times New Roman" w:eastAsia="Times New Roman" w:hAnsi="Times New Roman" w:cs="Times New Roman"/>
          <w:sz w:val="21"/>
          <w:szCs w:val="21"/>
        </w:rPr>
        <w:t xml:space="preserve">How the components declared in this document connect end to end (section 2.1).</w:t>
      </w:r>
    </w:p>
    <w:p xmlns:a="http://schemas.openxmlformats.org/drawingml/2006/main" xmlns:pic="http://schemas.openxmlformats.org/drawingml/2006/picture">
      <w:pPr>
        <w:spacing w:after="120"/>
        <w:jc w:val="center"/>
      </w:pPr>
      <w:r>
        <w:drawing>
          <wp:inline distT="0" distB="0" distL="0" distR="0">
            <wp:extent cx="5943600" cy="3481251"/>
            <wp:docPr id="901" name="Picture 901"/>
            <wp:cNvGraphicFramePr>
              <a:graphicFrameLocks noChangeAspect="1"/>
            </wp:cNvGraphicFramePr>
            <a:graphic>
              <a:graphicData uri="http://schemas.openxmlformats.org/drawingml/2006/picture">
                <pic:pic>
                  <pic:nvPicPr>
                    <pic:cNvPr id="901" name="diagram.png"/>
                    <pic:cNvPicPr/>
                  </pic:nvPicPr>
                  <pic:blipFill>
                    <a:blip r:embed="rIdDecl0"/>
                    <a:stretch>
                      <a:fillRect/>
                    </a:stretch>
                  </pic:blipFill>
                  <pic:spPr>
                    <a:xfrm>
                      <a:off x="0" y="0"/>
                      <a:ext cx="5943600" cy="3481251"/>
                    </a:xfrm>
                    <a:prstGeom prst="rect">
                      <a:avLst/>
                    </a:prstGeom>
                  </pic:spPr>
                </pic:pic>
              </a:graphicData>
            </a:graphic>
          </wp:inline>
        </w:drawing>
      </w:r>
    </w:p>
    <w:p>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Appendix B – Replit Proof of Use</w:t>
      </w:r>
    </w:p>
    <w:p>
      <w:pPr>
        <w:spacing w:before="0" w:after="60"/>
      </w:pPr>
      <w:r>
        <w:rPr>
          <w:rFonts w:ascii="Times New Roman" w:eastAsia="Times New Roman" w:hAnsi="Times New Roman" w:cs="Times New Roman"/>
          <w:b/>
          <w:sz w:val="22"/>
          <w:szCs w:val="22"/>
        </w:rPr>
        <w:t xml:space="preserve">Replit account: </w:t>
      </w:r>
      <w:r>
        <w:rPr>
          <w:rFonts w:ascii="Times New Roman" w:eastAsia="Times New Roman" w:hAnsi="Times New Roman" w:cs="Times New Roman"/>
          <w:sz w:val="22"/>
          <w:szCs w:val="22"/>
        </w:rPr>
        <w:t xml:space="preserve">riotbek07 (team account)</w:t>
      </w:r>
    </w:p>
    <w:p>
      <w:pPr>
        <w:spacing w:before="0" w:after="60"/>
      </w:pPr>
      <w:r>
        <w:rPr>
          <w:rFonts w:ascii="Times New Roman" w:eastAsia="Times New Roman" w:hAnsi="Times New Roman" w:cs="Times New Roman"/>
          <w:b/>
          <w:sz w:val="22"/>
          <w:szCs w:val="22"/>
        </w:rPr>
        <w:t xml:space="preserve">Replit project: </w:t>
      </w:r>
      <w:r>
        <w:rPr>
          <w:rFonts w:ascii="Times New Roman" w:eastAsia="Times New Roman" w:hAnsi="Times New Roman" w:cs="Times New Roman"/>
          <w:sz w:val="22"/>
          <w:szCs w:val="22"/>
        </w:rPr>
        <w:t xml:space="preserve">https://replit.com/@riotbek07/sdc2026-future-edge</w:t>
      </w:r>
    </w:p>
    <w:p>
      <w:pPr>
        <w:spacing w:before="0" w:after="160"/>
      </w:pPr>
      <w:r>
        <w:rPr>
          <w:rFonts w:ascii="Times New Roman" w:eastAsia="Times New Roman" w:hAnsi="Times New Roman" w:cs="Times New Roman"/>
          <w:b/>
          <w:sz w:val="22"/>
          <w:szCs w:val="22"/>
        </w:rPr>
        <w:t xml:space="preserve">Live deployment: </w:t>
      </w:r>
      <w:r>
        <w:rPr>
          <w:rFonts w:ascii="Times New Roman" w:eastAsia="Times New Roman" w:hAnsi="Times New Roman" w:cs="Times New Roman"/>
          <w:sz w:val="22"/>
          <w:szCs w:val="22"/>
        </w:rPr>
        <w:t xml:space="preserve">https://sdc-2026-future-edge.replit.app (autoscale, status Live)</w:t>
      </w:r>
    </w:p>
    <w:p>
      <w:pPr>
        <w:spacing w:before="0" w:after="60"/>
      </w:pPr>
      <w:r>
        <w:rPr>
          <w:rFonts w:ascii="Times New Roman" w:eastAsia="Times New Roman" w:hAnsi="Times New Roman" w:cs="Times New Roman"/>
          <w:b/>
          <w:sz w:val="21"/>
          <w:szCs w:val="21"/>
        </w:rPr>
        <w:t xml:space="preserve">1. Replit deployment page – status "Live" (screenshot, 24 Oct 2026)</w:t>
      </w:r>
    </w:p>
    <w:p xmlns:a="http://schemas.openxmlformats.org/drawingml/2006/main" xmlns:pic="http://schemas.openxmlformats.org/drawingml/2006/picture">
      <w:pPr>
        <w:spacing w:after="120"/>
        <w:jc w:val="center"/>
      </w:pPr>
      <w:r>
        <w:drawing>
          <wp:inline distT="0" distB="0" distL="0" distR="0">
            <wp:extent cx="5943600" cy="2645811"/>
            <wp:docPr id="902" name="Picture 902"/>
            <wp:cNvGraphicFramePr>
              <a:graphicFrameLocks noChangeAspect="1"/>
            </wp:cNvGraphicFramePr>
            <a:graphic>
              <a:graphicData uri="http://schemas.openxmlformats.org/drawingml/2006/picture">
                <pic:pic>
                  <pic:nvPicPr>
                    <pic:cNvPr id="902" name="replit_deployment.jpeg"/>
                    <pic:cNvPicPr/>
                  </pic:nvPicPr>
                  <pic:blipFill>
                    <a:blip r:embed="rIdDecl1"/>
                    <a:stretch>
                      <a:fillRect/>
                    </a:stretch>
                  </pic:blipFill>
                  <pic:spPr>
                    <a:xfrm>
                      <a:off x="0" y="0"/>
                      <a:ext cx="5943600" cy="2645811"/>
                    </a:xfrm>
                    <a:prstGeom prst="rect">
                      <a:avLst/>
                    </a:prstGeom>
                  </pic:spPr>
                </pic:pic>
              </a:graphicData>
            </a:graphic>
          </wp:inline>
        </w:drawing>
      </w:r>
    </w:p>
    <w:p>
      <w:pPr>
        <w:spacing w:before="0" w:after="60"/>
      </w:pPr>
      <w:r>
        <w:rPr>
          <w:rFonts w:ascii="Times New Roman" w:eastAsia="Times New Roman" w:hAnsi="Times New Roman" w:cs="Times New Roman"/>
          <w:b/>
          <w:sz w:val="21"/>
          <w:szCs w:val="21"/>
        </w:rPr>
        <w:t xml:space="preserve">2. The live app served from the Replit deployment</w:t>
      </w:r>
    </w:p>
    <w:p xmlns:a="http://schemas.openxmlformats.org/drawingml/2006/main" xmlns:pic="http://schemas.openxmlformats.org/drawingml/2006/picture">
      <w:pPr>
        <w:spacing w:after="120"/>
        <w:jc w:val="center"/>
      </w:pPr>
      <w:r>
        <w:drawing>
          <wp:inline distT="0" distB="0" distL="0" distR="0">
            <wp:extent cx="5943600" cy="2645811"/>
            <wp:docPr id="903" name="Picture 903"/>
            <wp:cNvGraphicFramePr>
              <a:graphicFrameLocks noChangeAspect="1"/>
            </wp:cNvGraphicFramePr>
            <a:graphic>
              <a:graphicData uri="http://schemas.openxmlformats.org/drawingml/2006/picture">
                <pic:pic>
                  <pic:nvPicPr>
                    <pic:cNvPr id="903" name="replit_live_app.jpeg"/>
                    <pic:cNvPicPr/>
                  </pic:nvPicPr>
                  <pic:blipFill>
                    <a:blip r:embed="rIdDecl2"/>
                    <a:stretch>
                      <a:fillRect/>
                    </a:stretch>
                  </pic:blipFill>
                  <pic:spPr>
                    <a:xfrm>
                      <a:off x="0" y="0"/>
                      <a:ext cx="5943600" cy="2645811"/>
                    </a:xfrm>
                    <a:prstGeom prst="rect">
                      <a:avLst/>
                    </a:prstGeom>
                  </pic:spPr>
                </pic:pic>
              </a:graphicData>
            </a:graphic>
          </wp:inline>
        </w:drawing>
      </w: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  Azimkhan Bekassyl (Team Leader, BEBZA)</w:t>
      </w:r>
    </w:p>
    <w:p w14:paraId="5A229A6D" w14:textId="77777777" w:rsidR="00D151A5" w:rsidRDefault="00000000">
      <w:pPr>
        <w:jc w:val="both"/>
      </w:pPr>
      <w:r>
        <w:rPr>
          <w:rFonts w:ascii="Times New Roman" w:eastAsia="Times New Roman" w:hAnsi="Times New Roman" w:cs="Times New Roman"/>
          <w:sz w:val="24"/>
          <w:szCs w:val="24"/>
        </w:rPr>
        <w:t>Date:  24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Decl0" Type="http://schemas.openxmlformats.org/officeDocument/2006/relationships/image" Target="media/decl_diagram.png"/><Relationship Id="rIdDecl1" Type="http://schemas.openxmlformats.org/officeDocument/2006/relationships/image" Target="media/decl_replit_deployment.jpeg"/><Relationship Id="rIdDecl2" Type="http://schemas.openxmlformats.org/officeDocument/2006/relationships/image" Target="media/decl_replit_live_app.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