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25 October 2026, 7:59 AM (MYT)</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Layout w:type="fixed"/>
        <w:tblLook w:val="0400" w:firstRow="0" w:lastRow="0" w:firstColumn="0" w:lastColumn="0" w:noHBand="0" w:noVBand="1"/>
      </w:tblPr>
      <w:tblGrid>
        <w:gridCol w:w="3200"/>
        <w:gridCol w:w="6160"/>
      </w:tblGrid>
      <w:tr w:rsidR="00D151A5" w14:paraId="3D5D80DD"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BEBZA</w:t>
            </w:r>
          </w:p>
        </w:tc>
      </w:tr>
      <w:tr w:rsidR="00D151A5" w14:paraId="2DE66B6E"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Future Edge</w:t>
            </w:r>
          </w:p>
        </w:tc>
      </w:tr>
      <w:tr w:rsidR="00D151A5" w14:paraId="1871AD3B"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Azimkhan Bekassyl</w:t>
            </w:r>
          </w:p>
        </w:tc>
      </w:tr>
      <w:tr w:rsidR="00D151A5" w14:paraId="0459FBA0"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beka2007azimut@gmail.com · +7 701 770 7593</w:t>
            </w:r>
          </w:p>
        </w:tc>
      </w:tr>
      <w:tr w:rsidR="00D151A5" w14:paraId="5F6F9DB8"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Xiamen University Malaysia (XMUM)</w:t>
            </w:r>
          </w:p>
        </w:tc>
      </w:tr>
      <w:tr w:rsidR="00D151A5" w14:paraId="14B06AEC"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https://sdc-2026-future-edge.replit.app</w:t>
            </w:r>
          </w:p>
        </w:tc>
      </w:tr>
      <w:tr w:rsidR="00D151A5" w14:paraId="4A210E37" w14:textId="77777777">
        <w:trPr>
          <w:trHeight w:val="520"/>
        </w:trPr>
        <w:tc>
          <w:tcPr>
            <w:tcW w:w="3200" w:type="dxa"/>
            <w:tcBorders>
              <w:top w:val="nil"/>
              <w:left w:val="nil"/>
              <w:bottom w:val="nil"/>
              <w:right w:val="nil"/>
            </w:tcBorders>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Borders>
              <w:top w:val="nil"/>
              <w:left w:val="nil"/>
              <w:bottom w:val="single" w:sz="4" w:space="0" w:color="000000"/>
              <w:right w:val="nil"/>
            </w:tcBorders>
            <w:tcMar>
              <w:top w:w="60" w:type="dxa"/>
              <w:left w:w="80" w:type="dxa"/>
              <w:bottom w:w="60" w:type="dxa"/>
              <w:right w:w="0" w:type="dxa"/>
            </w:tcMar>
          </w:tcPr>
          <w:p>
            <w:pPr>
              <w:spacing w:before="0" w:after="60"/>
            </w:pPr>
            <w:r>
              <w:rPr>
                <w:rFonts w:ascii="Times New Roman" w:eastAsia="Times New Roman" w:hAnsi="Times New Roman" w:cs="Times New Roman"/>
                <w:sz w:val="22"/>
                <w:szCs w:val="22"/>
              </w:rPr>
              <w:t xml:space="preserve">https://github.com/Magisterofdrinkingcoffee/sdc2026-future-edge (public)</w:t>
            </w:r>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user works in a React single-page app (built with Vite). It calls a Python FastAPI backend over HTTPS; both are served from one Replit autoscale deployment. A CV upload is read on the server with pypdf or a built-in Word reader, and personal data (name, email, phone, IC number, age, gender) is removed before any matching. Only for photos or complex layouts, and only when a key is configured, the redacted content is sent to the Google Gemini API, which returns phrases in a fixed JSON schema; every phrase is checked against the CV's own text.</w:t>
            </w:r>
          </w:p>
          <w:p>
            <w:pPr>
              <w:spacing w:before="0" w:after="60"/>
            </w:pPr>
            <w:r>
              <w:rPr>
                <w:rFonts w:ascii="Times New Roman" w:eastAsia="Times New Roman" w:hAnsi="Times New Roman" w:cs="Times New Roman"/>
                <w:sz w:val="21"/>
                <w:szCs w:val="21"/>
              </w:rPr>
              <w:t xml:space="preserve">Matched skills go to three models that run inside the backend: Model 1 (AI-exposure classifier trained on O*NET tasks, stored as JSON), Model 2 (damped trend forecast on monthly arXiv paper counts, refreshable live from the arXiv API) and Model 3 (exact scoring of the Catch the AI exercise). The scoring engine combines them with WEF, DOSM and MyCOL job-market figures into an Edge Score with a low–high range for two scenarios, then builds an ordered pathway from 53 checked learning resources. Catalogs are JSON files in the repository; no database, no stored user data. Diagram: Appendix A.</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Python 3.11+</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Backend, models, data tools</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PSF License</w:t>
            </w:r>
          </w:p>
        </w:tc>
      </w:tr>
      <w:tr w:rsidR="00D151A5" w14:paraId="459D295C"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JavaScript (ES2022) / Node.js 20+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Frontend build</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2EB39EEB"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FastAPI 0.115.6</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REST API</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0366C36"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Uvicorn 0.32.1</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ASGI web server</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r w:rsidR="00D151A5" w14:paraId="096D2325"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Pydantic 2.10.4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Request validation</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python-multipart 0.0.20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CV file upload</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pypdf 5.1.0</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Reading PDF CVs (chosen over PyMuPDF to avoid AGPL)</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httpx 0.28.1 · pytest 8.3.4</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API tests (49 automated tests)</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 · 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React 18 · Vite 5.4 · Tailwind CSS 3</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User interface</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MIT</w:t>
            </w:r>
          </w:p>
        </w:tc>
      </w:tr>
      <w:tr w:rsidR="00D151A5" w14:paraId="150759F8" w14:textId="77777777">
        <w:trPr>
          <w:cantSplit/>
          <w:trHeight w:val="520"/>
        </w:trPr>
        <w:tc>
          <w:tcPr>
            <w:tcW w:w="33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scikit-learn · pandas · matplotlib</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Training and evaluating Model 1 only (not in the running app)</w:t>
            </w:r>
          </w:p>
        </w:tc>
        <w:tc>
          <w:tcPr>
            <w:tcW w:w="21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BSD-3-Clause · BSD-3-Clause · PSF-based</w:t>
            </w:r>
          </w:p>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arXiv API (Cornell University)</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Monthly counts of new papers for 10 AI-capability topics – the AI-trend signal (Model 2); refreshable from the app</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w:t>
            </w:r>
          </w:p>
        </w:tc>
      </w:tr>
      <w:tr w:rsidR="00D151A5" w14:paraId="779769FA"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API (Google AI Studio)</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Optional: read photo or complex-layout CVs into a fixed JSON schema. Off unless GEMINI_API_KEY is set; the app works without it</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 tier</w:t>
            </w:r>
          </w:p>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 (official SDC sponsor)</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Workspace and Shell (install, build, tests, link checks), Secrets, and hosting of the live prototype via .replit → build.sh → start.sh</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Autoscale deployment, 2 vCPU / 4 GiB · Asia</w:t>
            </w:r>
          </w:p>
        </w:tc>
      </w:tr>
      <w:tr w:rsidR="00D151A5" w14:paraId="5921236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GitHub</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Source code and version history</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Free · public repository</w:t>
            </w:r>
          </w:p>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1 – AI-exposure classifier (TF-IDF + multinomial logistic regression)</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trained with scikit-learn on CPU</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Self-trained</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 (our code); training labels MIT</w:t>
            </w:r>
          </w:p>
        </w:tc>
      </w:tr>
      <w:tr w:rsidR="00D151A5" w14:paraId="540368F5"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2 – damped log-linear trend forecaster</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(plain Python)</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Self-built, fitted on arXiv counts</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71C73CEC"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Model 3 – Catch the AI scoring</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Team BEBZA (rule-based, known answers)</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Self-built</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Apache-2.0</w:t>
            </w:r>
          </w:p>
        </w:tc>
      </w:tr>
      <w:tr w:rsidR="00D151A5" w14:paraId="32D463B0" w14:textId="77777777">
        <w:trPr>
          <w:cantSplit/>
          <w:trHeight w:val="520"/>
        </w:trPr>
        <w:tc>
          <w:tcPr>
            <w:tcW w:w="24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(default gemini-3.8-flash, configurable)</w:t>
            </w:r>
          </w:p>
        </w:tc>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w:t>
            </w:r>
          </w:p>
        </w:tc>
        <w:tc>
          <w:tcPr>
            <w:tcW w:w="27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Pre-trained, called by API (optional CV reading)</w:t>
            </w:r>
          </w:p>
        </w:tc>
        <w:tc>
          <w:tcPr>
            <w:tcW w:w="20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Gemini API Terms of Service</w:t>
            </w:r>
          </w:p>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GPTs-are-GPTs task exposure labels (19,265 tasks)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github.com/openai/GPTs-are-GPTs</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MIT</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0BE0E19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O*NET task statements and occupations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onetcenter.org</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CC BY 4.0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03D6BB9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arXiv monthly paper counts, Oct 2023 – Sep 2026</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export.arxiv.org/api (collected 22 Oct 2026)</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(self-collected counts)</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arXiv API Terms of Use</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3E490F8A"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 Future of Jobs Report 2025 (incl. Malaysia profile)</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weforum.org</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report</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WEF terms; cited by page</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DOSM Salaries &amp; Wages Survey 2025; Labour Force Survey</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open.dosm.gov.my</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Malaysia open data terms</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TalentCorp MyCOL 2024/2025 critical occupations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talentcorp.com.my</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Public report</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Cited</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Team role dataset (25 roles: titles, skills, SDG tags, descriptions)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src/database/gemini-code-…csv</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Self-made, AI-assisted (Gemini)</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r w:rsidR="00D151A5" w14:paraId="14A5110D" w14:textId="77777777">
        <w:trPr>
          <w:cantSplit/>
          <w:trHeight w:val="520"/>
        </w:trPr>
        <w:tc>
          <w:tcPr>
            <w:tcW w:w="20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Skill, role, SDG and course catalogs; 3 sample CVs</w:t>
            </w:r>
          </w:p>
        </w:tc>
        <w:tc>
          <w:tcPr>
            <w:tcW w:w="23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src/backend/data/</w:t>
            </w:r>
          </w:p>
        </w:tc>
        <w:tc>
          <w:tcPr>
            <w:tcW w:w="226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Self-made; sample people are synthetic</w:t>
            </w:r>
          </w:p>
        </w:tc>
        <w:tc>
          <w:tcPr>
            <w:tcW w:w="17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Apache-2.0</w:t>
            </w:r>
          </w:p>
        </w:tc>
        <w:tc>
          <w:tcPr>
            <w:tcW w:w="1100" w:type="dxa"/>
            <w:tcMar>
              <w:top w:w="100" w:type="dxa"/>
              <w:left w:w="140" w:type="dxa"/>
              <w:bottom w:w="100" w:type="dxa"/>
              <w:right w:w="100" w:type="dxa"/>
            </w:tcMar>
          </w:tcPr>
          <w:p>
            <w:pPr>
              <w:spacing w:before="0" w:after="60"/>
            </w:pPr>
            <w:r>
              <w:rPr>
                <w:rFonts w:ascii="Times New Roman" w:eastAsia="Times New Roman" w:hAnsi="Times New Roman" w:cs="Times New Roman"/>
                <w:sz w:val="18"/>
                <w:szCs w:val="18"/>
              </w:rPr>
              <w:t xml:space="preserve">N</w:t>
            </w:r>
          </w:p>
        </w:tc>
      </w:tr>
    </w:tbl>
    <w:p w14:paraId="1B8BED6D" w14:textId="77777777" w:rsidR="00D151A5" w:rsidRDefault="00D151A5">
      <w:pPr>
        <w:spacing w:after="120"/>
        <w:jc w:val="both"/>
      </w:pPr>
    </w:p>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Claude (Anthropic) – Claude Code / claude.ai</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Writing and refactoring code and tests, model cards, README, submission documents, and the pitch-video animation, music and sound effects (synthesized in code)</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Major</w:t>
            </w:r>
          </w:p>
        </w:tc>
      </w:tr>
      <w:tr w:rsidR="00D151A5" w14:paraId="69A988BB"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Google Gemini (chat)</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First draft of the 25-role dataset (titles, skills, SDG tags, descriptions)</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Moderate</w:t>
            </w:r>
          </w:p>
        </w:tc>
      </w:tr>
      <w:tr w:rsidR="00D151A5" w14:paraId="4129CDAD"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Kokoro TTS v1.0 (open source, Apache-2.0), voice "am_michael"</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AI-generated narrator voice for the pitch video</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Moderate</w:t>
            </w:r>
          </w:p>
        </w:tc>
      </w:tr>
      <w:tr w:rsidR="00D151A5" w14:paraId="2E9E27F0" w14:textId="77777777">
        <w:trPr>
          <w:cantSplit/>
          <w:trHeight w:val="520"/>
        </w:trPr>
        <w:tc>
          <w:tcPr>
            <w:tcW w:w="30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 Agent</w:t>
            </w:r>
          </w:p>
        </w:tc>
        <w:tc>
          <w:tcPr>
            <w:tcW w:w="38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Started an automatic "port to Replit" step on import; stopped after 12 seconds and its changes were reverted</w:t>
            </w:r>
          </w:p>
        </w:tc>
        <w:tc>
          <w:tcPr>
            <w:tcW w:w="25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Minor</w:t>
            </w:r>
          </w:p>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team chose the idea, the models and every design rule, and reviewed each change before it was merged. AI-written code is covered by 49 automated tests and held-out evaluations (Model 1 cross-validation, Model 2 backtest). We replaced AI-drafted salary and risk estimates with real WEF, DOSM and MyCOL figures, and checked every course link on 24 October 2026. The running app uses no generative model to make recommendations, so it cannot invent jobs, courses or statistics.</w:t>
            </w:r>
          </w:p>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7777777" w:rsidR="00D151A5" w:rsidRDefault="00000000">
      <w:pPr>
        <w:keepNext/>
        <w:spacing w:after="120"/>
        <w:jc w:val="both"/>
      </w:pP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Replit</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Platform (workspace, Shell, Secrets, Deployments)</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Development, testing and link checking in the Replit Shell; live prototype hosted as a Replit autoscale deployment (proof: Appendix B)</w:t>
            </w:r>
          </w:p>
        </w:tc>
      </w:tr>
      <w:tr w:rsidR="00D151A5" w14:paraId="317D9C9E"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RunPod</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US$25 GPU credit</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Not used – no part of the project needs a GPU (Participant Handbook 9.4)</w:t>
            </w:r>
          </w:p>
        </w:tc>
      </w:tr>
      <w:tr w:rsidR="00D151A5" w14:paraId="57A32E56" w14:textId="77777777">
        <w:trPr>
          <w:cantSplit/>
          <w:trHeight w:val="520"/>
        </w:trPr>
        <w:tc>
          <w:tcPr>
            <w:tcW w:w="2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Aiversecity (domain sponsor)</w:t>
            </w:r>
          </w:p>
        </w:tc>
        <w:tc>
          <w:tcPr>
            <w:tcW w:w="320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Problem statement and rubric</w:t>
            </w:r>
          </w:p>
        </w:tc>
        <w:tc>
          <w:tcPr>
            <w:tcW w:w="3960" w:type="dxa"/>
            <w:tcMar>
              <w:top w:w="100" w:type="dxa"/>
              <w:left w:w="140" w:type="dxa"/>
              <w:bottom w:w="100" w:type="dxa"/>
              <w:right w:w="100" w:type="dxa"/>
            </w:tcMar>
          </w:tcPr>
          <w:p>
            <w:pPr>
              <w:spacing w:before="0" w:after="60"/>
            </w:pPr>
            <w:r>
              <w:rPr>
                <w:rFonts w:ascii="Times New Roman" w:eastAsia="Times New Roman" w:hAnsi="Times New Roman" w:cs="Times New Roman"/>
                <w:sz w:val="20"/>
                <w:szCs w:val="20"/>
              </w:rPr>
              <w:t xml:space="preserve">Defined the six must-have features we built</w:t>
            </w:r>
          </w:p>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Replit is essential to how the prototype is delivered: it is where judges reach the live app, and where we ran the build, tests and link checks with open internet access. The application code itself is portable – a standard FastAPI and React project with no Replit-specific dependencies – so it could also run on another host. We chose this on purpose, so the project survives beyond the hackathon.</w:t>
            </w:r>
          </w:p>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The app collects only what the user uploads: a CV file or pasted text, skill levels, a goal role and Catch the AI answers. The CV is read in memory once and is not saved; there is no database, account or tracking of personal data. Before matching, the name line, email, phone, IC number, age, date of birth and gender are removed, so matching never sees protected characteristics. If the optional Gemini key is set, PDFs with readable text are sent to Gemini as redacted text; photos and scanned PDFs have no text layer and are sent as images. The user's progress (skills, XP, badges) is kept only in their own browser's local storage. The API key is stored in Replit Secrets, never in the repository. Our demo uses synthetic CVs only.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pPr>
              <w:spacing w:before="0" w:after="60"/>
            </w:pPr>
            <w:r>
              <w:rPr>
                <w:rFonts w:ascii="Times New Roman" w:eastAsia="Times New Roman" w:hAnsi="Times New Roman" w:cs="Times New Roman"/>
                <w:sz w:val="21"/>
                <w:szCs w:val="21"/>
              </w:rPr>
              <w:t xml:space="preserve">Bias and scope: Model 1's labels describe US jobs in 2023; we apply them to Malaysia and use Malaysian job-market data alongside. Accuracy: Model 1 is 73.4% accurate on unseen occupations and weakest on chatbot-only tasks; Model 2 uses research papers as a proxy for AI capability and cannot foresee sudden breakthroughs; Catch the AI is one short exercise. Hallucination: mitigated by design – no generative model writes recommendations, and Gemini's CV phrases are rejected unless found in the CV text. Provider dependency: Gemini is optional with an offline fallback; if an arXiv refresh fails, the last good snapshot is kept. Users always see two scenarios, low–high ranges, a plain-English reason for every number, and a clear message that results are estimates, never hiring decisions.</w:t>
            </w:r>
          </w:p>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77777777" w:rsidR="00D151A5" w:rsidRDefault="00000000">
            <w:r>
              <w:rPr>
                <w:rFonts w:ascii="Times New Roman" w:eastAsia="Times New Roman" w:hAnsi="Times New Roman" w:cs="Times New Roman"/>
                <w:sz w:val="32"/>
                <w:szCs w:val="32"/>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  Azimkhan Bekassyl (Team Leader, BEBZA)</w:t>
      </w:r>
    </w:p>
    <w:p w14:paraId="5A229A6D" w14:textId="77777777" w:rsidR="00D151A5" w:rsidRDefault="00000000">
      <w:pPr>
        <w:jc w:val="both"/>
      </w:pPr>
      <w:r>
        <w:rPr>
          <w:rFonts w:ascii="Times New Roman" w:eastAsia="Times New Roman" w:hAnsi="Times New Roman" w:cs="Times New Roman"/>
          <w:sz w:val="24"/>
          <w:szCs w:val="24"/>
        </w:rPr>
        <w:t>Date:  24 October 2026</w:t>
      </w:r>
    </w:p>
    <w:p>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Appendix A – System Block Diagram</w:t>
      </w:r>
    </w:p>
    <w:p>
      <w:pPr>
        <w:spacing w:before="0" w:after="120"/>
      </w:pPr>
      <w:r>
        <w:rPr>
          <w:rFonts w:ascii="Times New Roman" w:eastAsia="Times New Roman" w:hAnsi="Times New Roman" w:cs="Times New Roman"/>
          <w:sz w:val="21"/>
          <w:szCs w:val="21"/>
        </w:rPr>
        <w:t xml:space="preserve">How the components declared in this document connect end to end (section 2.1).</w:t>
      </w:r>
    </w:p>
    <w:p xmlns:a="http://schemas.openxmlformats.org/drawingml/2006/main" xmlns:pic="http://schemas.openxmlformats.org/drawingml/2006/picture">
      <w:pPr>
        <w:spacing w:after="120"/>
        <w:jc w:val="center"/>
      </w:pPr>
      <w:r>
        <w:drawing>
          <wp:inline distT="0" distB="0" distL="0" distR="0">
            <wp:extent cx="5943600" cy="3481251"/>
            <wp:docPr id="901" name="Picture 901"/>
            <wp:cNvGraphicFramePr>
              <a:graphicFrameLocks noChangeAspect="1"/>
            </wp:cNvGraphicFramePr>
            <a:graphic>
              <a:graphicData uri="http://schemas.openxmlformats.org/drawingml/2006/picture">
                <pic:pic>
                  <pic:nvPicPr>
                    <pic:cNvPr id="901" name="diagram.png"/>
                    <pic:cNvPicPr/>
                  </pic:nvPicPr>
                  <pic:blipFill>
                    <a:blip r:embed="rIdDecl0"/>
                    <a:stretch>
                      <a:fillRect/>
                    </a:stretch>
                  </pic:blipFill>
                  <pic:spPr>
                    <a:xfrm>
                      <a:off x="0" y="0"/>
                      <a:ext cx="5943600" cy="3481251"/>
                    </a:xfrm>
                    <a:prstGeom prst="rect">
                      <a:avLst/>
                    </a:prstGeom>
                  </pic:spPr>
                </pic:pic>
              </a:graphicData>
            </a:graphic>
          </wp:inline>
        </w:drawing>
      </w:r>
    </w:p>
    <w:p>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Appendix B – Replit Proof of Use</w:t>
      </w:r>
    </w:p>
    <w:p>
      <w:pPr>
        <w:spacing w:before="0" w:after="60"/>
      </w:pPr>
      <w:r>
        <w:rPr>
          <w:rFonts w:ascii="Times New Roman" w:eastAsia="Times New Roman" w:hAnsi="Times New Roman" w:cs="Times New Roman"/>
          <w:b/>
          <w:sz w:val="22"/>
          <w:szCs w:val="22"/>
        </w:rPr>
        <w:t xml:space="preserve">Replit account: </w:t>
      </w:r>
      <w:r>
        <w:rPr>
          <w:rFonts w:ascii="Times New Roman" w:eastAsia="Times New Roman" w:hAnsi="Times New Roman" w:cs="Times New Roman"/>
          <w:sz w:val="22"/>
          <w:szCs w:val="22"/>
        </w:rPr>
        <w:t xml:space="preserve">riotbek07 (team account)</w:t>
      </w:r>
    </w:p>
    <w:p>
      <w:pPr>
        <w:spacing w:before="0" w:after="60"/>
      </w:pPr>
      <w:r>
        <w:rPr>
          <w:rFonts w:ascii="Times New Roman" w:eastAsia="Times New Roman" w:hAnsi="Times New Roman" w:cs="Times New Roman"/>
          <w:b/>
          <w:sz w:val="22"/>
          <w:szCs w:val="22"/>
        </w:rPr>
        <w:t xml:space="preserve">Replit project: </w:t>
      </w:r>
      <w:r>
        <w:rPr>
          <w:rFonts w:ascii="Times New Roman" w:eastAsia="Times New Roman" w:hAnsi="Times New Roman" w:cs="Times New Roman"/>
          <w:sz w:val="22"/>
          <w:szCs w:val="22"/>
        </w:rPr>
        <w:t xml:space="preserve">https://replit.com/@riotbek07/sdc2026-future-edge</w:t>
      </w:r>
    </w:p>
    <w:p>
      <w:pPr>
        <w:spacing w:before="0" w:after="160"/>
      </w:pPr>
      <w:r>
        <w:rPr>
          <w:rFonts w:ascii="Times New Roman" w:eastAsia="Times New Roman" w:hAnsi="Times New Roman" w:cs="Times New Roman"/>
          <w:b/>
          <w:sz w:val="22"/>
          <w:szCs w:val="22"/>
        </w:rPr>
        <w:t xml:space="preserve">Live deployment: </w:t>
      </w:r>
      <w:r>
        <w:rPr>
          <w:rFonts w:ascii="Times New Roman" w:eastAsia="Times New Roman" w:hAnsi="Times New Roman" w:cs="Times New Roman"/>
          <w:sz w:val="22"/>
          <w:szCs w:val="22"/>
        </w:rPr>
        <w:t xml:space="preserve">https://sdc-2026-future-edge.replit.app (autoscale, status Live)</w:t>
      </w:r>
    </w:p>
    <w:p>
      <w:pPr>
        <w:spacing w:before="0" w:after="60"/>
      </w:pPr>
      <w:r>
        <w:rPr>
          <w:rFonts w:ascii="Times New Roman" w:eastAsia="Times New Roman" w:hAnsi="Times New Roman" w:cs="Times New Roman"/>
          <w:b/>
          <w:sz w:val="21"/>
          <w:szCs w:val="21"/>
        </w:rPr>
        <w:t xml:space="preserve">1. Replit deployment page – status "Live" (screenshot, 24 Oct 2026)</w:t>
      </w:r>
    </w:p>
    <w:p xmlns:a="http://schemas.openxmlformats.org/drawingml/2006/main" xmlns:pic="http://schemas.openxmlformats.org/drawingml/2006/picture">
      <w:pPr>
        <w:spacing w:after="120"/>
        <w:jc w:val="center"/>
      </w:pPr>
      <w:r>
        <w:drawing>
          <wp:inline distT="0" distB="0" distL="0" distR="0">
            <wp:extent cx="5943600" cy="2645811"/>
            <wp:docPr id="902" name="Picture 902"/>
            <wp:cNvGraphicFramePr>
              <a:graphicFrameLocks noChangeAspect="1"/>
            </wp:cNvGraphicFramePr>
            <a:graphic>
              <a:graphicData uri="http://schemas.openxmlformats.org/drawingml/2006/picture">
                <pic:pic>
                  <pic:nvPicPr>
                    <pic:cNvPr id="902" name="replit_deployment.jpeg"/>
                    <pic:cNvPicPr/>
                  </pic:nvPicPr>
                  <pic:blipFill>
                    <a:blip r:embed="rIdDecl1"/>
                    <a:stretch>
                      <a:fillRect/>
                    </a:stretch>
                  </pic:blipFill>
                  <pic:spPr>
                    <a:xfrm>
                      <a:off x="0" y="0"/>
                      <a:ext cx="5943600" cy="2645811"/>
                    </a:xfrm>
                    <a:prstGeom prst="rect">
                      <a:avLst/>
                    </a:prstGeom>
                  </pic:spPr>
                </pic:pic>
              </a:graphicData>
            </a:graphic>
          </wp:inline>
        </w:drawing>
      </w:r>
    </w:p>
    <w:p>
      <w:pPr>
        <w:spacing w:before="0" w:after="60"/>
      </w:pPr>
      <w:r>
        <w:rPr>
          <w:rFonts w:ascii="Times New Roman" w:eastAsia="Times New Roman" w:hAnsi="Times New Roman" w:cs="Times New Roman"/>
          <w:b/>
          <w:sz w:val="21"/>
          <w:szCs w:val="21"/>
        </w:rPr>
        <w:t xml:space="preserve">2. The live app served from the Replit deployment</w:t>
      </w:r>
    </w:p>
    <w:p xmlns:a="http://schemas.openxmlformats.org/drawingml/2006/main" xmlns:pic="http://schemas.openxmlformats.org/drawingml/2006/picture">
      <w:pPr>
        <w:spacing w:after="120"/>
        <w:jc w:val="center"/>
      </w:pPr>
      <w:r>
        <w:drawing>
          <wp:inline distT="0" distB="0" distL="0" distR="0">
            <wp:extent cx="5943600" cy="2645811"/>
            <wp:docPr id="903" name="Picture 903"/>
            <wp:cNvGraphicFramePr>
              <a:graphicFrameLocks noChangeAspect="1"/>
            </wp:cNvGraphicFramePr>
            <a:graphic>
              <a:graphicData uri="http://schemas.openxmlformats.org/drawingml/2006/picture">
                <pic:pic>
                  <pic:nvPicPr>
                    <pic:cNvPr id="903" name="replit_live_app.jpeg"/>
                    <pic:cNvPicPr/>
                  </pic:nvPicPr>
                  <pic:blipFill>
                    <a:blip r:embed="rIdDecl2"/>
                    <a:stretch>
                      <a:fillRect/>
                    </a:stretch>
                  </pic:blipFill>
                  <pic:spPr>
                    <a:xfrm>
                      <a:off x="0" y="0"/>
                      <a:ext cx="5943600" cy="2645811"/>
                    </a:xfrm>
                    <a:prstGeom prst="rect">
                      <a:avLst/>
                    </a:prstGeom>
                  </pic:spPr>
                </pic:pic>
              </a:graphicData>
            </a:graphic>
          </wp:inline>
        </w:drawing>
      </w:r>
    </w:p>
    <w:sectPr w:rsidR="00D151A5">
      <w:headerReference w:type="default" r:id="rId10"/>
      <w:footerReference w:type="default" r:id="rId11"/>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2D3B7" w14:textId="77777777" w:rsidR="0050329D" w:rsidRDefault="0050329D">
      <w:pPr>
        <w:spacing w:line="240" w:lineRule="auto"/>
      </w:pPr>
      <w:r>
        <w:separator/>
      </w:r>
    </w:p>
  </w:endnote>
  <w:endnote w:type="continuationSeparator" w:id="0">
    <w:p w14:paraId="16A29D43" w14:textId="77777777" w:rsidR="0050329D" w:rsidRDefault="005032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297B64E7-028F-47BC-82D6-016E1B3D619A}"/>
    <w:embedBold r:id="rId2" w:fontKey="{5E5338CC-F5F1-4082-B10C-F716206B4D5B}"/>
    <w:embedItalic r:id="rId3" w:fontKey="{17FB1409-D8DE-43EB-B5A4-E8C7E8D9C761}"/>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4" w:fontKey="{86BD3FBE-AD34-47BA-81CC-4B6334AFCC69}"/>
  </w:font>
  <w:font w:name="Cardo">
    <w:charset w:val="00"/>
    <w:family w:val="auto"/>
    <w:pitch w:val="default"/>
    <w:embedItalic r:id="rId5" w:fontKey="{AD2F0EBF-24B7-478D-85F4-83C43C118833}"/>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6" w:fontKey="{AC5F30E3-8939-4CB4-A789-CC55EA1EF4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9725" w14:textId="77777777" w:rsidR="0050329D" w:rsidRDefault="0050329D">
      <w:pPr>
        <w:spacing w:line="240" w:lineRule="auto"/>
      </w:pPr>
      <w:r>
        <w:separator/>
      </w:r>
    </w:p>
  </w:footnote>
  <w:footnote w:type="continuationSeparator" w:id="0">
    <w:p w14:paraId="4AC9CD58" w14:textId="77777777" w:rsidR="0050329D" w:rsidRDefault="0050329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321F86"/>
    <w:rsid w:val="0050329D"/>
    <w:rsid w:val="00870565"/>
    <w:rsid w:val="00D151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image" Target="media/image1.jpeg"/><Relationship Id="rId9" Type="http://schemas.openxmlformats.org/officeDocument/2006/relationships/image" Target="media/image2.png"/><Relationship Id="rIdDecl0" Type="http://schemas.openxmlformats.org/officeDocument/2006/relationships/image" Target="media/decl_diagram.png"/><Relationship Id="rIdDecl1" Type="http://schemas.openxmlformats.org/officeDocument/2006/relationships/image" Target="media/decl_replit_deployment.jpeg"/><Relationship Id="rIdDecl2" Type="http://schemas.openxmlformats.org/officeDocument/2006/relationships/image" Target="media/decl_replit_live_app.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785</Words>
  <Characters>4475</Characters>
  <Application>Microsoft Office Word</Application>
  <DocSecurity>0</DocSecurity>
  <Lines>37</Lines>
  <Paragraphs>10</Paragraphs>
  <ScaleCrop>false</ScaleCrop>
  <Company/>
  <LinksUpToDate>false</LinksUpToDate>
  <CharactersWithSpaces>5250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2</cp:revision>
  <dcterms:created xsi:type="dcterms:W3CDTF">2026-10-21T15:49:00Z</dcterms:created>
  <dcterms:modified xsi:type="dcterms:W3CDTF">2026-10-21T15:51:00Z</dcterms:modified>
</cp:coreProperties>
</file>