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The passage under the kiln was narrow, and the bricks on the left wall were warmer than the bricks on the right. Helen carried a lamp because the passage turned once and the turn ate the daylight. A coil of rope had been moved from the left wall to the right. The dust showed the old circle. She noted the move and not the rope.</w:t>
      </w:r>
    </w:p>
    <w:p>
      <w:r>
        <w:t xml:space="preserve">At the far end a shelf held the bowls that were not ready for the shop. One had slumped. One had stuck to its neighbour and been parted with a knife. The knife mark was a pale scar. She turned that bowl to the wall. Scars were allowed to exist. They were not required to face the door.</w:t>
      </w:r>
    </w:p>
    <w:p>
      <w:r>
        <w:t xml:space="preserve">She went back out into the yard and the crane was still turning for nothing. The canal kept its zinc colour. She blew out the lamp and hung it on the nail, and she left the passage to its heat.</w:t>
      </w:r>
    </w:p>
    <w:sectPr/>
  </w:body>
</w:document>
</file>

<file path=word/_rels/document.xml.rels><?xml version="1.0" encoding="UTF-8" standalone="yes"?>
<Relationships xmlns="http://schemas.openxmlformats.org/package/2006/relationships"></Relationships>
</file>