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регистр и пробелы по краям промокода не учитываются;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24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Код в другом регистре и с пробелами по краям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Код распознан, скидка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Модель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Сравнение двух одинаковых OrderItem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Объекты равны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CalculateTotal_WithPromoCodeInDifferentCaseOrPadded_IsRecognized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OrderItem_WithSameValues_AreEqual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Lab2/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OrderItem.cs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OrderResult.cs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OrderService.cs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Lab2.Tests/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OrderServiceTests.cs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24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Тест с атрибутом [Fact]: базовый расчёт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CalculateTotal_WithMinimalValidOrder_ReturnsBaseAmountPlusDelivery()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result.DeliveryCost.Should().Be(300m, "сумма меньше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result.FinalAmount.Should().Be(301m);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3 – Параметризованный тест: граничные значения скидки по сумме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[InlineData(4999, 0, 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[InlineData(5000, 5, 250)]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[InlineData(9999, 5, 499.95)]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[InlineData(10000, 10, 1000)]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[InlineData(25000, 10, 2500)]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CalculateTotal_AmountDiscountBoundaries_AppliesExpectedDiscount(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expectedPercent, double expectedDiscount)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result.DiscountPercent.Should().Be((decimal)expectedPercent);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result.DiscountAmount.Should().Be((decimal)expectedDiscount);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result.FinalAmount.Should().Be(result.BaseAmount - result.DiscountAmount,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"доставка бесплатна при сумме от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Проверка исключения через делегат Action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CalculateTotal_WithWelcome10ForLoyalCustomer_ThrowsInvalidOperationException()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true, "WELCOME10");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act.Should().Throw&lt;InvalidOperationException&gt;("WELCOME10 только для новых клиентов");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Параметризованная проверка исключений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[InlineData(-100.50)]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CalculateTotal_WithNonPositivePrice_ThrowsArgumentException(double price)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act.Should().Throw&lt;ArgumentException&gt;("цена должна быть строго больше 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Граница порога доставки после применения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[InlineData(3750, 0, 3000)]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[InlineData(3749, 300, 3299.2)]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CalculateTotal_DeliveryThresholdIsCheckedAfterDiscounts_ChargesExpectedDelivery(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expectedDelivery, double expectedFinal)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"SUMMER20");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result.DeliveryCost.Should().Be((decimal)expectedDelivery,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"порог 3000 руб. сравнивается с суммой после скидок");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result.FinalAmount.Should().Be((decimal)expectedFinal);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Комбинация всех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CalculateTotal_WithAllDiscountsCombined_SumsAllPercentages()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new List&lt;OrderItem&gt;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new("Ноутбук", 8000m, 1),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new("Мышь", 1000m, 3)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true, "VIP30");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result.DiscountPercent.Should().Be(45m, "10% по сумме + 5% лояльность + 30% промокод");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result.DiscountAmount.Should().Be(4950m);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result.FinalAmount.Should().Be(6050m);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 приведённых примерах паттерн AAA выдержан одинаково.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63,1 %, Branch Coverage – 50 %, то есть ниже требуемых 90 %.</w:t>
      </w:r>
    </w:p>
    <w:p>
      <w:pPr/>
      <w:r>
        <w:rPr>
          <w:lang w:val="ru-RU"/>
        </w:rPr>
        <w:t xml:space="preserve">На рисунке 1 показано: сводка покрытия на промежуточном этапе.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32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32364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Сводка покрытия на промежуточном этапе (Line 63 %, Branch 50 %)</w:t>
      </w:r>
    </w:p>
    <w:p>
      <w:pPr/>
      <w:r>
        <w:rPr>
          <w:lang w:val="ru-RU"/>
        </w:rPr>
        <w:t xml:space="preserve">На рисунке 2 показано: фрагмент OrderService.cs, красным выделены непокрытые строки, жёлтым – частично покрытые.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TC-23: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/>
      <w:r>
        <w:rPr>
          <w:lang w:val="ru-RU"/>
        </w:rPr>
        <w:t xml:space="preserve">На рисунке 3 показано: итоговый отчёт ReportGenerator после запуска всех 43 тестов.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63,1 %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43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43 запуска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другой регистр; «welcome»,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код распознан;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варианты записи промокода (TC-19), пороги доставки (TC-20, TC-21). Это сокращает объём кода: вместо десятков однотипных [Fact]-методов получилось 24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24 тестовых сценариев, реализованы 24 тестовых метода (43 запуска) на xUnit и FluentAssertions по паттерну Arrange-Act-Assert, включая параметризованные тесты и проверку исключений. С помощью Coverlet и ReportGenerator измерено покрытие: на промежуточном этапе Line Coverage составил 63,1 %,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