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Anisotropic ground</w:t>
      </w:r>
    </w:p>
    <w:p>
      <w:pPr>
        <w:pStyle w:val="FirstParagraph"/>
      </w:pPr>
      <w:r>
        <w:t xml:space="preserve">Structural anisotropy (for example, layering or fracturing) causes the simple</w:t>
      </w:r>
      <w:r>
        <w:t xml:space="preserve"> </w:t>
      </w:r>
      <w:r>
        <w:t xml:space="preserve">form of Ohm's law to break down because current flow is not necessarily</w:t>
      </w:r>
      <w:r>
        <w:t xml:space="preserve"> </w:t>
      </w:r>
      <w:r>
        <w:t xml:space="preserve">parallel to the forcing electric field. Instead of simply writing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σ</m:t>
        </m:r>
        <m:r>
          <m:t>E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σ</m:t>
        </m:r>
        <m:r>
          <m:t>Δ</m:t>
        </m:r>
        <m:r>
          <m:t>V</m:t>
        </m:r>
      </m:oMath>
      <w:r>
        <w:t xml:space="preserve">, we have to write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σ</m:t>
              </m:r>
            </m:e>
            <m:sub>
              <m:r>
                <m:t>i</m:t>
              </m:r>
              <m:r>
                <m:t>k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</m:den>
          </m:f>
          <m:r>
            <m:t> </m:t>
          </m:r>
          <m:r>
            <m:t>i</m:t>
          </m:r>
          <m:r>
            <m:rPr>
              <m:sty m:val="p"/>
            </m:rPr>
            <m:t>,</m:t>
          </m:r>
          <m:r>
            <m:t>k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</m:oMath>
      </m:oMathPara>
    </w:p>
    <w:p>
      <w:pPr>
        <w:pStyle w:val="FirstParagraph"/>
      </w:pPr>
      <w:r>
        <w:t xml:space="preserve">In homogeneous ground with a single current and potential electrodes, the</w:t>
      </w:r>
      <w:r>
        <w:t xml:space="preserve"> </w:t>
      </w:r>
      <w:r>
        <w:t xml:space="preserve">expression for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(voltage) in terms of resistivity and distance from the</w:t>
      </w:r>
      <w:r>
        <w:t xml:space="preserve"> </w:t>
      </w:r>
      <w:r>
        <w:t xml:space="preserve">current source is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>
          <m:t>ρ</m:t>
        </m:r>
        <m:r>
          <m:rPr>
            <m:sty m:val="p"/>
          </m:rPr>
          <m:t>/</m:t>
        </m:r>
        <m:r>
          <m:t>2</m:t>
        </m:r>
        <m:r>
          <m:t>π</m:t>
        </m:r>
        <m:r>
          <m:t>r</m:t>
        </m:r>
      </m:oMath>
      <w:r>
        <w:t xml:space="preserve"> </w:t>
      </w:r>
      <w:r>
        <w:t xml:space="preserve">(which was shown above). In</w:t>
      </w:r>
      <w:r>
        <w:t xml:space="preserve"> </w:t>
      </w:r>
      <w:r>
        <w:t xml:space="preserve">anisotropic ground, there are different values of resistivity for the</w:t>
      </w:r>
      <w:r>
        <w:t xml:space="preserve"> </w:t>
      </w:r>
      <w:r>
        <w:t xml:space="preserve">horizontal and a vertical directions. The expression for voltage in terms of</w:t>
      </w:r>
      <w:r>
        <w:t xml:space="preserve"> </w:t>
      </w:r>
      <w:r>
        <w:t xml:space="preserve">the two resistivities and distance is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I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b>
                    <m:e>
                      <m:r>
                        <m:t>ρ</m:t>
                      </m:r>
                    </m:e>
                    <m:sub>
                      <m:r>
                        <m:t>h</m:t>
                      </m:r>
                    </m:sub>
                  </m:sSub>
                  <m:sSub>
                    <m:e>
                      <m:r>
                        <m:t>ρ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rad>
            </m:num>
            <m:den>
              <m:r>
                <m:t>2</m:t>
              </m:r>
              <m:r>
                <m:t>π</m:t>
              </m:r>
              <m:r>
                <m:t>r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I</m:t>
              </m:r>
              <m:sSub>
                <m:e>
                  <m:r>
                    <m:t>ρ</m:t>
                  </m:r>
                </m:e>
                <m:sub>
                  <m:r>
                    <m:t>h</m:t>
                  </m:r>
                </m:sub>
              </m:sSub>
              <m:r>
                <m:t>λ</m:t>
              </m:r>
            </m:num>
            <m:den>
              <m:r>
                <m:t>2</m:t>
              </m:r>
              <m:r>
                <m:t>π</m:t>
              </m:r>
              <m:r>
                <m:t>r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ρ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ρ</m:t>
                    </m:r>
                  </m:e>
                  <m:sub>
                    <m:r>
                      <m:t>h</m:t>
                    </m:r>
                  </m:sub>
                </m:sSub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is called the coefficient of</w:t>
      </w:r>
      <w:r>
        <w:t xml:space="preserve"> </w:t>
      </w:r>
      <w:r>
        <w:t xml:space="preserve">anisotropy. See the table below for some values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encountered</w:t>
      </w:r>
      <w:r>
        <w:t xml:space="preserve"> </w:t>
      </w:r>
      <w:r>
        <w:t xml:space="preserve">in common geological materials.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./images/layers.gif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./images/table13.gif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Anisotropic ground</dc:title>
  <dc:creator/>
  <cp:keywords/>
  <dcterms:created xsi:type="dcterms:W3CDTF">2025-01-16T09:41:36Z</dcterms:created>
  <dcterms:modified xsi:type="dcterms:W3CDTF">2025-01-16T09:41:36Z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