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Currents and voltages in a uniform earth</w:t>
      </w:r>
    </w:p>
    <w:bookmarkStart w:id="20" w:name="single-electrode-current-source"/>
    <w:p>
      <w:pPr>
        <w:pStyle w:val="Heading1"/>
      </w:pPr>
      <w:r>
        <w:t xml:space="preserve">Single electrode current source</w:t>
      </w:r>
    </w:p>
    <w:p>
      <w:pPr>
        <w:pStyle w:val="FirstParagraph"/>
      </w:pPr>
      <w:r>
        <w:t xml:space="preserve">In order to derive a relation between measurements (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geometry) and the required physical property (resistivity 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),</w:t>
      </w:r>
      <w:r>
        <w:t xml:space="preserve"> </w:t>
      </w:r>
      <w:r>
        <w:t xml:space="preserve">we must start by identifying how these parameters relate to electric field</w:t>
      </w:r>
      <w:r>
        <w:t xml:space="preserve"> </w:t>
      </w:r>
      <w:r>
        <w:t xml:space="preserve">strength,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(Volts per meter), current density,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(Amps per unit</w:t>
      </w:r>
      <w:r>
        <w:t xml:space="preserve"> </w:t>
      </w:r>
      <w:r>
        <w:t xml:space="preserve">area), and resistivity (Ohm-m) in the three dimensional situation of a field</w:t>
      </w:r>
      <w:r>
        <w:t xml:space="preserve"> </w:t>
      </w:r>
      <w:r>
        <w:t xml:space="preserve">survey (the introduction defines resistivity and conductivity).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./images/currents_in_earth.gif</w:t>
            </w:r>
          </w:p>
        </w:tc>
      </w:tr>
    </w:tbl>
    <w:p>
      <w:pPr>
        <w:pStyle w:val="BodyText"/>
      </w:pPr>
      <w:r>
        <w:t xml:space="preserve">Consider first a uniform Earth and one electrode, which is pumping a current,</w:t>
      </w:r>
      <w:r>
        <w:t xml:space="preserve"> </w:t>
      </w:r>
      <m:oMath>
        <m:r>
          <m:t>I</m:t>
        </m:r>
      </m:oMath>
      <w:r>
        <w:t xml:space="preserve">, into the ground. We want to find the electric potential within the</w:t>
      </w:r>
      <w:r>
        <w:t xml:space="preserve"> </w:t>
      </w:r>
      <w:r>
        <w:t xml:space="preserve">ground at a distance,</w:t>
      </w:r>
      <w:r>
        <w:t xml:space="preserve"> </w:t>
      </w:r>
      <m:oMath>
        <m:r>
          <m:t>r</m:t>
        </m:r>
      </m:oMath>
      <w:r>
        <w:t xml:space="preserve">, from the current source. The current density in</w:t>
      </w:r>
      <w:r>
        <w:t xml:space="preserve"> </w:t>
      </w:r>
      <w:r>
        <w:t xml:space="preserve">the ground is related to source current injected, and it flows radially</w:t>
      </w:r>
      <w:r>
        <w:t xml:space="preserve"> </w:t>
      </w:r>
      <w:r>
        <w:t xml:space="preserve">outward from its point source. The potential measured at a surface defined by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related to the electric field that exists in the ground because of</w:t>
      </w:r>
      <w:r>
        <w:t xml:space="preserve"> </w:t>
      </w:r>
      <w:r>
        <w:t xml:space="preserve">the current. These two relations will be combined with the 3D form of Ohm's</w:t>
      </w:r>
      <w:r>
        <w:t xml:space="preserve"> </w:t>
      </w:r>
      <w:r>
        <w:t xml:space="preserve">law to end up with an expression for conductivity (the physical property we</w:t>
      </w:r>
      <w:r>
        <w:t xml:space="preserve"> </w:t>
      </w:r>
      <w:r>
        <w:t xml:space="preserve">want) in terms of the current source, measured potential, and the distance.</w:t>
      </w:r>
    </w:p>
    <w:p>
      <w:pPr>
        <w:pStyle w:val="BodyText"/>
      </w:pPr>
      <w:r>
        <w:t xml:space="preserve">First, by symmetry the current density out of the hemisphere of radius,</w:t>
      </w:r>
      <w:r>
        <w:t xml:space="preserve"> </w:t>
      </w:r>
      <m:oMath>
        <m:r>
          <m:t>r</m:t>
        </m:r>
      </m:oMath>
      <w:r>
        <w:t xml:space="preserve">, is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</m:t>
              </m:r>
              <m:r>
                <m:t>π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and the current is flowing in a radial direction. Since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σ</m:t>
        </m:r>
        <m:r>
          <m:t>E</m:t>
        </m:r>
      </m:oMath>
      <w:r>
        <w:t xml:space="preserve"> </w:t>
      </w:r>
      <w:r>
        <w:t xml:space="preserve">(Ohm's Law), the electric field must also be pointing radially outward. The</w:t>
      </w:r>
      <w:r>
        <w:t xml:space="preserve"> </w:t>
      </w:r>
      <w:r>
        <w:t xml:space="preserve">relationship between the electric field and the potential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r</m:t>
                  </m:r>
                </m:e>
              </m:d>
            </m:num>
            <m:den>
              <m:r>
                <m:t>d</m:t>
              </m:r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Combining the expression for</w:t>
      </w:r>
      <w:r>
        <w:t xml:space="preserve"> </w:t>
      </w:r>
      <m:oMath>
        <m:r>
          <m:t>E</m:t>
        </m:r>
      </m:oMath>
      <w:r>
        <w:t xml:space="preserve">, Ohm's Law and equation 1, we have</w:t>
      </w:r>
    </w:p>
    <w:p>
      <w:pPr>
        <w:pStyle w:val="BodyText"/>
      </w:pPr>
      <w:r>
        <w:t xml:space="preserve">$$J = -\sigma \frac{dV(r)}{dr} &amp;= \frac{I}{2 \pi r^2}$$</w:t>
      </w:r>
      <w:r>
        <w:t xml:space="preserve">$$\frac{dV(r)}{dr} &amp;= \frac{-I}{2\pi \sigma r^2}$$</w:t>
      </w:r>
    </w:p>
    <w:p>
      <w:pPr>
        <w:pStyle w:val="FirstParagraph"/>
      </w:pPr>
      <w:r>
        <w:t xml:space="preserve">If we integrate,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</m:t>
              </m:r>
              <m:r>
                <m:t>π</m:t>
              </m:r>
              <m:r>
                <m:t>σ</m:t>
              </m:r>
              <m:r>
                <m:t>r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chose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∞</m:t>
              </m:r>
            </m:e>
          </m:d>
          <m:r>
            <m:rPr>
              <m:sty m:val="p"/>
            </m:rPr>
            <m:t>→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 the potential due to a point current electrode at the surface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</m:t>
              </m:r>
              <m:r>
                <m:t>π</m:t>
              </m:r>
              <m:r>
                <m:t>σ</m:t>
              </m:r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The electric potential inside the earth caused by the radial flow of current</w:t>
      </w:r>
      <w:r>
        <w:t xml:space="preserve"> </w:t>
      </w:r>
      <w:r>
        <w:t xml:space="preserve">is illustrated in the diagram below.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./images/radial_flow.gif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./images/pot_decay.gif</w:t>
            </w:r>
          </w:p>
        </w:tc>
      </w:tr>
    </w:tbl>
    <w:p>
      <w:pPr>
        <w:pStyle w:val="BodyText"/>
      </w:pPr>
      <w:r>
        <w:t xml:space="preserve">At the surface, where measurements are made, the potential is infinite at the</w:t>
      </w:r>
      <w:r>
        <w:t xml:space="preserve"> </w:t>
      </w:r>
      <w:r>
        <w:t xml:space="preserve">current electrode because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, and it decays with distance.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</m:t>
              </m:r>
              <m:r>
                <m:t>π</m:t>
              </m:r>
              <m:r>
                <m:t>σ</m:t>
              </m:r>
              <m:r>
                <m:t>r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  <m:r>
                <m:t>ρ</m:t>
              </m:r>
            </m:num>
            <m:den>
              <m:r>
                <m:t>2</m:t>
              </m:r>
              <m:r>
                <m:t>π</m:t>
              </m:r>
              <m:r>
                <m:t>r</m:t>
              </m:r>
            </m:den>
          </m:f>
        </m:oMath>
      </m:oMathPara>
    </w:p>
    <w:bookmarkEnd w:id="20"/>
    <w:bookmarkStart w:id="21" w:name="two-electrode-current-sources"/>
    <w:p>
      <w:pPr>
        <w:pStyle w:val="Heading1"/>
      </w:pPr>
      <w:r>
        <w:t xml:space="preserve">Two electrode current sources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./images/two_electrodes.gif</w:t>
            </w:r>
          </w:p>
        </w:tc>
      </w:tr>
    </w:tbl>
    <w:p>
      <w:pPr>
        <w:pStyle w:val="BodyText"/>
      </w:pPr>
      <w:r>
        <w:t xml:space="preserve">In a geophysical survey, current is injected into the ground using two</w:t>
      </w:r>
      <w:r>
        <w:t xml:space="preserve"> </w:t>
      </w:r>
      <w:r>
        <w:t xml:space="preserve">electrodes. It is convenient to label the electrodes as</w:t>
      </w:r>
    </w:p>
    <w:p>
      <w:pPr>
        <w:pStyle w:val="Compact"/>
        <w:numPr>
          <w:ilvl w:val="0"/>
          <w:numId w:val="1001"/>
        </w:numPr>
      </w:pPr>
      <w:r>
        <w:t xml:space="preserve">positive current electrode (carries a current</w:t>
      </w:r>
      <w:r>
        <w:t xml:space="preserve"> </w:t>
      </w:r>
      <m:oMath>
        <m:r>
          <m:rPr>
            <m:sty m:val="p"/>
          </m:rPr>
          <m:t>+</m:t>
        </m:r>
        <m:r>
          <m:t>I</m:t>
        </m:r>
      </m:oMath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negative current electrode (carries a current</w:t>
      </w:r>
      <w:r>
        <w:t xml:space="preserve"> </w:t>
      </w:r>
      <m:oMath>
        <m:r>
          <m:rPr>
            <m:sty m:val="p"/>
          </m:rPr>
          <m:t>−</m:t>
        </m:r>
        <m:r>
          <m:t>I</m:t>
        </m:r>
      </m:oMath>
      <w:r>
        <w:t xml:space="preserve">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./images/fieldlines.gif</w:t>
            </w:r>
          </w:p>
        </w:tc>
      </w:tr>
    </w:tbl>
    <w:p>
      <w:pPr>
        <w:pStyle w:val="BodyText"/>
      </w:pPr>
      <w:r>
        <w:t xml:space="preserve">For a uniform Earth, lines of current flow are shown in red in the figure to</w:t>
      </w:r>
      <w:r>
        <w:t xml:space="preserve"> </w:t>
      </w:r>
      <w:r>
        <w:t xml:space="preserve">the right, and corresponding lines of equal potential (equipotential lines)</w:t>
      </w:r>
      <w:r>
        <w:t xml:space="preserve"> </w:t>
      </w:r>
      <w:r>
        <w:t xml:space="preserve">are shown in black. Instead of the current flowing radially out from the</w:t>
      </w:r>
      <w:r>
        <w:t xml:space="preserve"> </w:t>
      </w:r>
      <w:r>
        <w:t xml:space="preserve">current electrodes, it now flows along curved paths connecting the two current</w:t>
      </w:r>
      <w:r>
        <w:t xml:space="preserve"> </w:t>
      </w:r>
      <w:r>
        <w:t xml:space="preserve">electrodes. Six current paths are shown. Between the surface of the earth and</w:t>
      </w:r>
      <w:r>
        <w:t xml:space="preserve"> </w:t>
      </w:r>
      <w:r>
        <w:t xml:space="preserve">any current path we can compute the total proportion of current encompassed.</w:t>
      </w:r>
      <w:r>
        <w:t xml:space="preserve"> </w:t>
      </w:r>
      <w:r>
        <w:t xml:space="preserve">The table below shows the proportion for the six paths shown (current path 1</w:t>
      </w:r>
      <w:r>
        <w:t xml:space="preserve"> </w:t>
      </w:r>
      <w:r>
        <w:t xml:space="preserve">is the top-most path and 6 is the bottom-most path).</w:t>
      </w:r>
    </w:p>
    <w:tbl>
      <w:tblPr>
        <w:tblStyle w:val="Table"/>
        <w:tblW w:type="pct" w:w="3333"/>
        <w:tblLayout w:type="fixed"/>
        <w:tblLook w:firstRow="1" w:lastRow="0" w:firstColumn="0" w:lastColumn="0" w:noHBand="0" w:noVBand="0" w:val="0020"/>
      </w:tblPr>
      <w:tblGrid>
        <w:gridCol w:w="2640"/>
        <w:gridCol w:w="2640"/>
      </w:tblGrid>
      <w:tr>
        <w:trPr>
          <w:tblHeader w:val="on"/>
        </w:trPr>
        <w:tc>
          <w:tcPr/>
          <w:p>
            <w:pPr>
              <w:pStyle w:val="BlockText"/>
            </w:pPr>
            <w:r>
              <w:rPr>
                <w:b/>
                <w:bCs/>
              </w:rPr>
              <w:t xml:space="preserve">Current Path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% of Total Current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1</w:t>
            </w:r>
          </w:p>
        </w:tc>
        <w:tc>
          <w:tcPr/>
          <w:p>
            <w:pPr>
              <w:pStyle w:val="BlockText"/>
            </w:pPr>
            <w:r>
              <w:t xml:space="preserve">17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2</w:t>
            </w:r>
          </w:p>
        </w:tc>
        <w:tc>
          <w:tcPr/>
          <w:p>
            <w:pPr>
              <w:pStyle w:val="BlockText"/>
            </w:pPr>
            <w:r>
              <w:t xml:space="preserve">32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3</w:t>
            </w:r>
          </w:p>
        </w:tc>
        <w:tc>
          <w:tcPr/>
          <w:p>
            <w:pPr>
              <w:pStyle w:val="BlockText"/>
            </w:pPr>
            <w:r>
              <w:t xml:space="preserve">43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4</w:t>
            </w:r>
          </w:p>
        </w:tc>
        <w:tc>
          <w:tcPr/>
          <w:p>
            <w:pPr>
              <w:pStyle w:val="BlockText"/>
            </w:pPr>
            <w:r>
              <w:t xml:space="preserve">49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5</w:t>
            </w:r>
          </w:p>
        </w:tc>
        <w:tc>
          <w:tcPr/>
          <w:p>
            <w:pPr>
              <w:pStyle w:val="BlockText"/>
            </w:pPr>
            <w:r>
              <w:t xml:space="preserve">51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6</w:t>
            </w:r>
          </w:p>
        </w:tc>
        <w:tc>
          <w:tcPr/>
          <w:p>
            <w:pPr>
              <w:pStyle w:val="BlockText"/>
            </w:pPr>
            <w:r>
              <w:t xml:space="preserve">57</w:t>
            </w:r>
          </w:p>
        </w:tc>
      </w:tr>
    </w:tbl>
    <w:p>
      <w:pPr>
        <w:pStyle w:val="FirstParagraph"/>
      </w:pPr>
      <w:r>
        <w:t xml:space="preserve">From these calculations and the graph of the current flow shown above, notice</w:t>
      </w:r>
      <w:r>
        <w:t xml:space="preserve"> </w:t>
      </w:r>
      <w:r>
        <w:t xml:space="preserve">that almost 50% of the current placed into the ground flows through rock at</w:t>
      </w:r>
      <w:r>
        <w:t xml:space="preserve"> </w:t>
      </w:r>
      <w:r>
        <w:t xml:space="preserve">depths shallower than or equal to the current electrode spacing.</w:t>
      </w:r>
    </w:p>
    <w:p>
      <w:pPr>
        <w:pStyle w:val="BodyText"/>
      </w:pPr>
      <w:r>
        <w:t xml:space="preserve">The graph shown below plots the potential that would be measured along the</w:t>
      </w:r>
      <w:r>
        <w:t xml:space="preserve"> </w:t>
      </w:r>
      <w:r>
        <w:t xml:space="preserve">surface of the earth for a fixed 2-electrode source. The voltage we would</w:t>
      </w:r>
      <w:r>
        <w:t xml:space="preserve"> </w:t>
      </w:r>
      <w:r>
        <w:t xml:space="preserve">observe with our voltmeter (between purple electrodes) is the</w:t>
      </w:r>
      <w:r>
        <w:t xml:space="preserve"> </w:t>
      </w:r>
      <w:r>
        <w:rPr>
          <w:b/>
          <w:bCs/>
        </w:rPr>
        <w:t xml:space="preserve">difference</w:t>
      </w:r>
      <w:r>
        <w:t xml:space="preserve"> </w:t>
      </w:r>
      <w:r>
        <w:t xml:space="preserve">in potential at the two voltage electrodes,</w:t>
      </w:r>
      <w:r>
        <w:t xml:space="preserve"> </w:t>
      </w:r>
      <m:oMath>
        <m:r>
          <m:t>Δ</m:t>
        </m:r>
        <m:r>
          <m:t>V</m:t>
        </m:r>
      </m:oMath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./images/pot_difference.gif</w:t>
            </w:r>
          </w:p>
        </w:tc>
      </w:tr>
    </w:tbl>
    <w:bookmarkEnd w:id="21"/>
    <w:bookmarkStart w:id="22" w:name="current-flow-in-the-ground"/>
    <w:p>
      <w:pPr>
        <w:pStyle w:val="Heading1"/>
      </w:pPr>
      <w:r>
        <w:t xml:space="preserve">Current flow in the ground</w:t>
      </w:r>
    </w:p>
    <w:p>
      <w:pPr>
        <w:pStyle w:val="FirstParagraph"/>
      </w:pPr>
      <w:r>
        <w:t xml:space="preserve">The path of the current in the earth after it is injected with two electrodes</w:t>
      </w:r>
      <w:r>
        <w:t xml:space="preserve"> </w:t>
      </w:r>
      <w:r>
        <w:t xml:space="preserve">depends upon the distribution of electrical resistivity. If the Earth is</w:t>
      </w:r>
      <w:r>
        <w:t xml:space="preserve"> </w:t>
      </w:r>
      <w:r>
        <w:t xml:space="preserve">uniform, current flows in a regular three dimensional pattern under the</w:t>
      </w:r>
      <w:r>
        <w:t xml:space="preserve"> </w:t>
      </w:r>
      <w:r>
        <w:t xml:space="preserve">electrodes as illustrated Figure 1. The north slice number 8 (flagged with a</w:t>
      </w:r>
      <w:r>
        <w:t xml:space="preserve"> </w:t>
      </w:r>
      <m:oMath>
        <m:r>
          <m:rPr>
            <m:sty m:val="p"/>
          </m:rPr>
          <m:t>*</m:t>
        </m:r>
      </m:oMath>
      <w:r>
        <w:t xml:space="preserve">) is similar to the type of image commonly shown in texts to</w:t>
      </w:r>
      <w:r>
        <w:t xml:space="preserve"> </w:t>
      </w:r>
      <w:r>
        <w:t xml:space="preserve">indicate how current flows in two dimensions under a pair of source</w:t>
      </w:r>
      <w:r>
        <w:t xml:space="preserve"> </w:t>
      </w:r>
      <w:r>
        <w:t xml:space="preserve">electrodes.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Currents and voltages in a uniform earth</dc:title>
  <dc:creator/>
  <cp:keywords/>
  <dcterms:created xsi:type="dcterms:W3CDTF">2025-01-16T09:41:36Z</dcterms:created>
  <dcterms:modified xsi:type="dcterms:W3CDTF">2025-01-16T09:41:36Z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