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Equations for modeling DC phenomenona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./images/principles_dcresf1.gif</w:t>
            </w:r>
          </w:p>
        </w:tc>
      </w:tr>
    </w:tbl>
    <w:p>
      <w:pPr>
        <w:pStyle w:val="BodyText"/>
      </w:pPr>
      <w:r>
        <w:t xml:space="preserve">Using the physics and appropriate mathematics to calculate a set of</w:t>
      </w:r>
      <w:r>
        <w:t xml:space="preserve"> </w:t>
      </w:r>
      <w:r>
        <w:t xml:space="preserve">measurements is called "forward modeling." The DC resistivity forward modeling</w:t>
      </w:r>
      <w:r>
        <w:t xml:space="preserve"> </w:t>
      </w:r>
      <w:r>
        <w:t xml:space="preserve">problem involves describing potentials everywhere as a function of</w:t>
      </w:r>
      <w:r>
        <w:t xml:space="preserve"> </w:t>
      </w:r>
      <w:r>
        <w:t xml:space="preserve">conductivity in the ground, geometry, and input current. It requires three</w:t>
      </w:r>
      <w:r>
        <w:t xml:space="preserve"> </w:t>
      </w:r>
      <w:r>
        <w:t xml:space="preserve">fundamental relations: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a</m:t>
                    </m:r>
                  </m:e>
                </m:d>
                <m:r>
                  <m:t> </m:t>
                </m:r>
                <m:r>
                  <m:rPr>
                    <m:nor/>
                    <m:sty m:val="b"/>
                  </m:rPr>
                  <m:t>J</m:t>
                </m:r>
                <m:r>
                  <m:rPr>
                    <m:sty m:val="p"/>
                  </m:rPr>
                  <m:t>=</m:t>
                </m:r>
                <m:r>
                  <m:t>σ</m:t>
                </m:r>
                <m:r>
                  <m:rPr>
                    <m:nor/>
                    <m:sty m:val="b"/>
                  </m:rPr>
                  <m:t>E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Ohm’s Law</m:t>
                </m:r>
              </m:e>
            </m:mr>
            <m:mr>
              <m:e/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b</m:t>
                    </m:r>
                  </m:e>
                </m:d>
                <m:r>
                  <m:t> </m:t>
                </m:r>
                <m:r>
                  <m:rPr>
                    <m:nor/>
                    <m:sty m:val="b"/>
                  </m:rPr>
                  <m:t>E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∇</m:t>
                </m:r>
                <m:r>
                  <m:t>V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The electric field is the negative gradient of a scalar potential.</m:t>
                </m:r>
              </m:e>
            </m:mr>
            <m:mr>
              <m:e/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c</m:t>
                    </m:r>
                  </m:e>
                </m:d>
                <m:r>
                  <m:t> </m:t>
                </m:r>
                <m:r>
                  <m:rPr>
                    <m:sty m:val="p"/>
                  </m:rPr>
                  <m:t>∇</m:t>
                </m:r>
                <m:r>
                  <m:rPr>
                    <m:sty m:val="p"/>
                  </m:rPr>
                  <m:t>⋅</m:t>
                </m:r>
                <m:r>
                  <m:t> </m:t>
                </m:r>
                <m:r>
                  <m:rPr>
                    <m:nor/>
                    <m:sty m:val="b"/>
                  </m:rPr>
                  <m:t>J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∂</m:t>
                </m:r>
                <m:r>
                  <m:t>Q</m:t>
                </m:r>
                <m:r>
                  <m:rPr>
                    <m:sty m:val="p"/>
                  </m:rPr>
                  <m:t>/</m:t>
                </m:r>
                <m:r>
                  <m:rPr>
                    <m:sty m:val="p"/>
                  </m:rPr>
                  <m:t>∂</m:t>
                </m:r>
                <m:r>
                  <m:t>t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The divergence of current density equals the rate of change of free charge density.</m:t>
                </m:r>
              </m:e>
            </m:mr>
          </m:m>
        </m:oMath>
      </m:oMathPara>
    </w:p>
    <w:p>
      <w:pPr>
        <w:pStyle w:val="FirstParagraph"/>
      </w:pPr>
      <w:r>
        <w:t xml:space="preserve">We want to obtain a differential equation and boundary conditions to define</w:t>
      </w:r>
      <w:r>
        <w:t xml:space="preserve"> </w:t>
      </w:r>
      <w:r>
        <w:t xml:space="preserve">the forward problem that will allow us to relate conductivity everywhere to</w:t>
      </w:r>
      <w:r>
        <w:t xml:space="preserve"> </w:t>
      </w:r>
      <w:r>
        <w:t xml:space="preserve">potential everywhere. Start by combining (a) and (b) to say</w:t>
      </w:r>
      <w:r>
        <w:t xml:space="preserve"> </w:t>
      </w:r>
      <m:oMath>
        <m:r>
          <m:rPr>
            <m:nor/>
            <m:sty m:val="b"/>
          </m:rPr>
          <m:t>J</m:t>
        </m:r>
        <m:r>
          <m:rPr>
            <m:sty m:val="p"/>
          </m:rPr>
          <m:t>=</m:t>
        </m:r>
        <m:r>
          <m:t>σ</m:t>
        </m:r>
        <m:r>
          <m:rPr>
            <m:sty m:val="p"/>
          </m:rPr>
          <m:t>∇</m:t>
        </m:r>
        <m:r>
          <m:t>V</m:t>
        </m:r>
      </m:oMath>
      <w:r>
        <w:t xml:space="preserve">, then plug this into (c) to get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rPr>
              <m:sty m:val="p"/>
            </m:rPr>
            <m:t>⋅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σ</m:t>
              </m:r>
              <m:r>
                <m:rPr>
                  <m:sty m:val="p"/>
                </m:rPr>
                <m:t>∇</m:t>
              </m:r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∂</m:t>
          </m:r>
          <m:r>
            <m:t>Q</m:t>
          </m:r>
          <m:r>
            <m:rPr>
              <m:sty m:val="p"/>
            </m:rPr>
            <m:t>/</m:t>
          </m:r>
          <m:r>
            <m:rPr>
              <m:sty m:val="p"/>
            </m:rPr>
            <m:t>∂</m:t>
          </m:r>
          <m:r>
            <m:t>t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</w:p>
    <w:p>
      <w:pPr>
        <w:pStyle w:val="FirstParagraph"/>
      </w:pPr>
      <w:r>
        <w:t xml:space="preserve">This holds for steady state conditions everywhere, except at the source</w:t>
      </w:r>
      <w:r>
        <w:t xml:space="preserve"> </w:t>
      </w:r>
      <w:r>
        <w:t xml:space="preserve">position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s</m:t>
            </m:r>
          </m:sub>
        </m:sSub>
      </m:oMath>
      <w:r>
        <w:t xml:space="preserve">, where it equals the input current,</w:t>
      </w:r>
      <w:r>
        <w:t xml:space="preserve"> </w:t>
      </w:r>
      <m:oMath>
        <m:r>
          <m:t>I</m:t>
        </m:r>
      </m:oMath>
      <w:r>
        <w:t xml:space="preserve">. In other</w:t>
      </w:r>
      <w:r>
        <w:t xml:space="preserve"> </w:t>
      </w:r>
      <w:r>
        <w:t xml:space="preserve">words, charge does not accumulate under steady state conditions, except at the</w:t>
      </w:r>
      <w:r>
        <w:t xml:space="preserve"> </w:t>
      </w:r>
      <w:r>
        <w:t xml:space="preserve">point of the source.</w:t>
      </w:r>
    </w:p>
    <w:p>
      <w:pPr>
        <w:pStyle w:val="BodyText"/>
      </w:pPr>
      <w:r>
        <w:t xml:space="preserve">Equation (2) can be re-written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rPr>
              <m:sty m:val="p"/>
            </m:rPr>
            <m:t>⋅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σ</m:t>
              </m:r>
              <m:r>
                <m:rPr>
                  <m:sty m:val="p"/>
                </m:rPr>
                <m:t>∇</m:t>
              </m:r>
              <m:r>
                <m:t>V</m:t>
              </m:r>
            </m:e>
          </m:d>
          <m:r>
            <m:rPr>
              <m:sty m:val="p"/>
            </m:rPr>
            <m:t>=</m:t>
          </m:r>
          <m:r>
            <m:t>I</m:t>
          </m:r>
          <m:r>
            <m:t>δ</m:t>
          </m:r>
          <m:d>
            <m:dPr>
              <m:begChr m:val="("/>
              <m:sepChr m:val=""/>
              <m:endChr m:val=")"/>
              <m:grow/>
            </m:dPr>
            <m:e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s</m:t>
                  </m:r>
                </m:sub>
              </m:sSub>
            </m:e>
          </m:d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The Dirac delta function is used here to indicate that charge density is</w:t>
      </w:r>
      <w:r>
        <w:t xml:space="preserve"> </w:t>
      </w:r>
      <w:r>
        <w:t xml:space="preserve">varying only at the point source of current.</w:t>
      </w:r>
    </w:p>
    <w:p>
      <w:pPr>
        <w:pStyle w:val="DefinitionTerm"/>
      </w:pPr>
      <w:r>
        <w:rPr>
          <w:b/>
          <w:bCs/>
        </w:rPr>
        <w:t xml:space="preserve">Boundary conditions</w:t>
      </w:r>
      <w:r>
        <w:t xml:space="preserve"> </w:t>
      </w:r>
      <w:r>
        <w:t xml:space="preserve">that must hold are:</w:t>
      </w:r>
    </w:p>
    <w:p>
      <w:pPr>
        <w:pStyle w:val="Compact"/>
        <w:numPr>
          <w:ilvl w:val="0"/>
          <w:numId w:val="1001"/>
        </w:numPr>
      </w:pPr>
      <w:r>
        <w:t xml:space="preserve">The change of potential across the free surface is zero (</w:t>
      </w:r>
      <m:oMath>
        <m:r>
          <m:rPr>
            <m:sty m:val="p"/>
          </m:rPr>
          <m:t>∂</m:t>
        </m:r>
        <m:r>
          <m:t>V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), and</w:t>
      </w:r>
    </w:p>
    <w:p>
      <w:pPr>
        <w:pStyle w:val="Compact"/>
        <w:numPr>
          <w:ilvl w:val="0"/>
          <w:numId w:val="1001"/>
        </w:numPr>
      </w:pPr>
      <m:oMath>
        <m:r>
          <m:t>V</m:t>
        </m:r>
      </m:oMath>
      <w:r>
        <w:t xml:space="preserve"> </w:t>
      </w:r>
      <w:r>
        <w:t xml:space="preserve">approaches 0 as</w:t>
      </w:r>
      <w:r>
        <w:t xml:space="preserve"> </w:t>
      </w:r>
      <m:oMath>
        <m:r>
          <m:t>r</m:t>
        </m:r>
        <m:r>
          <m:rPr>
            <m:sty m:val="p"/>
          </m:rPr>
          <m:t>−</m:t>
        </m:r>
        <m:sSub>
          <m:e>
            <m:r>
              <m:t>r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approaches infinity.</w:t>
      </w:r>
    </w:p>
    <w:p>
      <w:pPr>
        <w:pStyle w:val="FirstParagraph"/>
      </w:pPr>
      <w:r>
        <w:t xml:space="preserve">This differential equation (3) and the two boundary conditions define the</w:t>
      </w:r>
      <w:r>
        <w:t xml:space="preserve"> </w:t>
      </w:r>
      <w:r>
        <w:t xml:space="preserve">forward problem that relates conductivity everywhere in the ground to</w:t>
      </w:r>
      <w:r>
        <w:t xml:space="preserve"> </w:t>
      </w:r>
      <w:r>
        <w:t xml:space="preserve">potential measured anywhere within or on the surface of the ground. This</w:t>
      </w:r>
      <w:r>
        <w:t xml:space="preserve"> </w:t>
      </w:r>
      <w:r>
        <w:t xml:space="preserve">problem can be solved numerically using finite element or finite volume</w:t>
      </w:r>
      <w:r>
        <w:t xml:space="preserve"> </w:t>
      </w:r>
      <w:r>
        <w:t xml:space="preserve">techniques.</w:t>
      </w:r>
    </w:p>
    <w:bookmarkStart w:id="20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rPr>
          <w:b/>
          <w:bCs/>
        </w:rPr>
        <w:t xml:space="preserve">Dey , A. and H.F. Morrison</w:t>
      </w:r>
      <w:r>
        <w:t xml:space="preserve">, 1979a,</w:t>
      </w:r>
      <w:r>
        <w:t xml:space="preserve"> </w:t>
      </w:r>
      <w:r>
        <w:rPr>
          <w:i/>
          <w:iCs/>
        </w:rPr>
        <w:t xml:space="preserve">Resistivity modelling for arbitrarily shaped two-dimensional structures</w:t>
      </w:r>
      <w:r>
        <w:t xml:space="preserve">, Geophysical Prospecting, 27, 106-136.</w:t>
      </w:r>
    </w:p>
    <w:p>
      <w:pPr>
        <w:pStyle w:val="BodyText"/>
      </w:pPr>
      <w:r>
        <w:rPr>
          <w:b/>
          <w:bCs/>
        </w:rPr>
        <w:t xml:space="preserve">Dey, A. and H.F. Morrison, 1979b</w:t>
      </w:r>
      <w:r>
        <w:t xml:space="preserve">,</w:t>
      </w:r>
      <w:r>
        <w:t xml:space="preserve"> </w:t>
      </w:r>
      <w:r>
        <w:rPr>
          <w:i/>
          <w:iCs/>
        </w:rPr>
        <w:t xml:space="preserve">Resistivity modeling for arbitrarily shaped three-dimensional structures</w:t>
      </w:r>
      <w:r>
        <w:t xml:space="preserve">, Geophysics, 44, no. 4, 753-780.</w:t>
      </w:r>
    </w:p>
    <w:p>
      <w:pPr>
        <w:pStyle w:val="BodyText"/>
      </w:pPr>
      <w:r>
        <w:rPr>
          <w:b/>
          <w:bCs/>
        </w:rPr>
        <w:t xml:space="preserve">McGillevry, P.R.</w:t>
      </w:r>
      <w:r>
        <w:t xml:space="preserve">, 1992,</w:t>
      </w:r>
      <w:r>
        <w:t xml:space="preserve"> </w:t>
      </w:r>
      <w:r>
        <w:rPr>
          <w:i/>
          <w:iCs/>
        </w:rPr>
        <w:t xml:space="preserve">Forward modelling and inversion of DC resistivity and MMR data</w:t>
      </w:r>
      <w:r>
        <w:t xml:space="preserve">, unpublished PhD. thesis, UBC.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 for modeling DC phenomenona</dc:title>
  <dc:creator/>
  <cp:keywords/>
  <dcterms:created xsi:type="dcterms:W3CDTF">2025-01-16T09:41:36Z</dcterms:created>
  <dcterms:modified xsi:type="dcterms:W3CDTF">2025-01-16T09:41:36Z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