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For DC resistivity surveys, the energy source is a generator which injects a</w:t>
      </w:r>
      <w:r>
        <w:t xml:space="preserve"> </w:t>
      </w:r>
      <w:r>
        <w:t xml:space="preserve">constant current into the ground using two electrodes. The "signals out"</w:t>
      </w:r>
      <w:r>
        <w:t xml:space="preserve"> </w:t>
      </w:r>
      <w:r>
        <w:t xml:space="preserve">(data) are voltages measured at various places on the surface, along with</w:t>
      </w:r>
      <w:r>
        <w:t xml:space="preserve"> </w:t>
      </w:r>
      <w:r>
        <w:t xml:space="preserve">strength of the known current source (in Amperes) and details about relative</w:t>
      </w:r>
      <w:r>
        <w:t xml:space="preserve"> </w:t>
      </w:r>
      <w:r>
        <w:t xml:space="preserve">geometry of the four electrodes.</w:t>
      </w:r>
    </w:p>
    <w:p>
      <w:pPr>
        <w:pStyle w:val="BodyText"/>
      </w:pPr>
      <w:r>
        <w:t xml:space="preserve">In order to create maps or graphs of raw data for quality assessment or for</w:t>
      </w:r>
      <w:r>
        <w:t xml:space="preserve"> </w:t>
      </w:r>
      <w:r>
        <w:t xml:space="preserve">direct interpretations, measurements are converted into a form that is related</w:t>
      </w:r>
      <w:r>
        <w:t xml:space="preserve"> </w:t>
      </w:r>
      <w:r>
        <w:t xml:space="preserve">to the relevant physical property. For each measurement, a 3D version of Ohm's</w:t>
      </w:r>
      <w:r>
        <w:t xml:space="preserve"> </w:t>
      </w:r>
      <w:r>
        <w:t xml:space="preserve">Law is used to generate a datum with units of resistivity (or conductivity).</w:t>
      </w:r>
      <w:r>
        <w:t xml:space="preserve"> </w:t>
      </w:r>
      <w:r>
        <w:t xml:space="preserve">These transformed data are called</w:t>
      </w:r>
      <w:r>
        <w:t xml:space="preserve"> </w:t>
      </w:r>
      <w:r>
        <w:rPr>
          <w:b/>
          <w:bCs/>
        </w:rPr>
        <w:t xml:space="preserve">apparent resistivities</w:t>
      </w:r>
      <w:r>
        <w:t xml:space="preserve"> </w:t>
      </w:r>
      <w:r>
        <w:t xml:space="preserve">because they</w:t>
      </w:r>
      <w:r>
        <w:t xml:space="preserve"> </w:t>
      </w:r>
      <w:r>
        <w:t xml:space="preserve">represent the earth's true resistivity only if the ground is uniform. When</w:t>
      </w:r>
      <w:r>
        <w:t xml:space="preserve"> </w:t>
      </w:r>
      <w:r>
        <w:t xml:space="preserve">subsurface resistivity varies, interpretation must be based upon the way in</w:t>
      </w:r>
      <w:r>
        <w:t xml:space="preserve"> </w:t>
      </w:r>
      <w:r>
        <w:t xml:space="preserve">which apparent resistivity varies as a function of electrode geometry and</w:t>
      </w:r>
      <w:r>
        <w:t xml:space="preserve"> </w:t>
      </w:r>
      <w:r>
        <w:t xml:space="preserve">position. The commonly used survey procedures are explained later on this</w:t>
      </w:r>
      <w:r>
        <w:t xml:space="preserve"> </w:t>
      </w:r>
      <w:r>
        <w:t xml:space="preserve">page, after discussions about current flow, sources, measurements, and</w:t>
      </w:r>
      <w:r>
        <w:t xml:space="preserve"> </w:t>
      </w:r>
      <w:r>
        <w:t xml:space="preserve">conversion to apparent resistivities.</w:t>
      </w:r>
    </w:p>
    <w:bookmarkEnd w:id="20"/>
    <w:bookmarkStart w:id="22" w:name="apparent-resistivity"/>
    <w:p>
      <w:pPr>
        <w:pStyle w:val="Heading1"/>
      </w:pPr>
      <w:r>
        <w:t xml:space="preserve">Apparent resistivity</w:t>
      </w:r>
    </w:p>
    <w:p>
      <w:pPr>
        <w:pStyle w:val="FirstParagraph"/>
      </w:pPr>
      <w:r>
        <w:t xml:space="preserve">If there are two current (source) electrodes, the potential is the</w:t>
      </w:r>
      <w:r>
        <w:t xml:space="preserve"> </w:t>
      </w:r>
      <w:r>
        <w:t xml:space="preserve">superposition of the effects from both. In a practical experiment (figure</w:t>
      </w:r>
      <w:r>
        <w:t xml:space="preserve"> </w:t>
      </w:r>
      <w:r>
        <w:t xml:space="preserve">below), one electrode,</w:t>
      </w:r>
      <w:r>
        <w:t xml:space="preserve"> </w:t>
      </w:r>
      <m:oMath>
        <m:r>
          <m:t>A</m:t>
        </m:r>
      </m:oMath>
      <w:r>
        <w:t xml:space="preserve">, is the positive side of a current source, and</w:t>
      </w:r>
      <w:r>
        <w:t xml:space="preserve"> </w:t>
      </w:r>
      <w:r>
        <w:t xml:space="preserve">the other electrode,</w:t>
      </w:r>
      <w:r>
        <w:t xml:space="preserve"> </w:t>
      </w:r>
      <m:oMath>
        <m:r>
          <m:t>B</m:t>
        </m:r>
      </m:oMath>
      <w:r>
        <w:t xml:space="preserve">, is the negative side. The current into each</w:t>
      </w:r>
      <w:r>
        <w:t xml:space="preserve"> </w:t>
      </w:r>
      <w:r>
        <w:t xml:space="preserve">electrode is equal, but of opposite sign. For a practical survey, we need two</w:t>
      </w:r>
      <w:r>
        <w:t xml:space="preserve"> </w:t>
      </w:r>
      <w:r>
        <w:t xml:space="preserve">electrodes to measure a potential difference. These are</w:t>
      </w:r>
      <w:r>
        <w:t xml:space="preserve"> </w:t>
      </w:r>
      <m:oMath>
        <m:r>
          <m:t>M</m:t>
        </m:r>
      </m:oMath>
      <w:r>
        <w:t xml:space="preserve">, the positive</w:t>
      </w:r>
      <w:r>
        <w:t xml:space="preserve"> </w:t>
      </w:r>
      <w:r>
        <w:t xml:space="preserve">terminal of the voltmeter (the one closest to the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current electrode),</w:t>
      </w:r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, the negative terminal of the voltmeter.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./images/practical_experiment.gif</w:t>
            </w:r>
          </w:p>
        </w:tc>
      </w:tr>
    </w:tbl>
    <w:p>
      <w:pPr>
        <w:pStyle w:val="BodyText"/>
      </w:pPr>
      <w:r>
        <w:t xml:space="preserve">The measured voltage is a potential difference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V</m:t>
                </m:r>
              </m:e>
              <m:sub>
                <m:r>
                  <m:t>M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in which each</w:t>
      </w:r>
      <w:r>
        <w:t xml:space="preserve"> </w:t>
      </w:r>
      <w:r>
        <w:t xml:space="preserve">potential is the superposition of the effects from both current sources: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Δ</m:t>
                </m:r>
                <m:r>
                  <m:t>V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nor/>
                    <m:sty m:val="p"/>
                  </m:rPr>
                  <m:t>, with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I</m:t>
                    </m:r>
                    <m:r>
                      <m:t>ρ</m:t>
                    </m:r>
                  </m:num>
                  <m:den>
                    <m:r>
                      <m:t>2</m:t>
                    </m:r>
                    <m:r>
                      <m:t>π</m:t>
                    </m:r>
                  </m:den>
                </m:f>
                <m:d>
                  <m:dPr>
                    <m:begChr m:val="{"/>
                    <m:sepChr m:val=""/>
                    <m:endChr m:val="}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A</m:t>
                            </m:r>
                            <m:r>
                              <m:t>M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B</m:t>
                            </m:r>
                            <m:r>
                              <m:t>M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nor/>
                    <m:sty m:val="p"/>
                  </m:rPr>
                  <m:t> and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I</m:t>
                    </m:r>
                    <m:r>
                      <m:t>ρ</m:t>
                    </m:r>
                  </m:num>
                  <m:den>
                    <m:r>
                      <m:t>2</m:t>
                    </m:r>
                    <m:r>
                      <m:t>π</m:t>
                    </m:r>
                  </m:den>
                </m:f>
                <m:d>
                  <m:dPr>
                    <m:begChr m:val="{"/>
                    <m:sepChr m:val=""/>
                    <m:endChr m:val="}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A</m:t>
                            </m:r>
                            <m:r>
                              <m:t>N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B</m:t>
                            </m:r>
                            <m:r>
                              <m:t>N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nor/>
                    <m:sty m:val="p"/>
                  </m:rPr>
                  <m:t>, so</m:t>
                </m:r>
              </m:e>
            </m:mr>
            <m:mr>
              <m:e>
                <m:r>
                  <m:t>Δ</m:t>
                </m:r>
                <m:r>
                  <m:t>V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I</m:t>
                    </m:r>
                    <m:r>
                      <m:t>ρ</m:t>
                    </m:r>
                  </m:num>
                  <m:den>
                    <m:r>
                      <m:t>2</m:t>
                    </m:r>
                    <m:r>
                      <m:t>π</m:t>
                    </m:r>
                  </m:den>
                </m:f>
                <m:d>
                  <m:dPr>
                    <m:begChr m:val="{"/>
                    <m:sepChr m:val=""/>
                    <m:endChr m:val="}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A</m:t>
                            </m:r>
                            <m:r>
                              <m:t>M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B</m:t>
                            </m:r>
                            <m:r>
                              <m:t>M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A</m:t>
                            </m:r>
                            <m:r>
                              <m:t>N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B</m:t>
                            </m:r>
                            <m: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r>
                  <m:t>Δ</m:t>
                </m:r>
                <m:r>
                  <m:t>V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I</m:t>
                </m:r>
                <m:r>
                  <m:t>ρ</m:t>
                </m:r>
                <m:r>
                  <m:t>G</m:t>
                </m:r>
              </m:e>
            </m:mr>
          </m:m>
        </m:oMath>
      </m:oMathPara>
    </w:p>
    <w:p>
      <w:pPr>
        <w:pStyle w:val="FirstParagraph"/>
      </w:pPr>
      <w:r>
        <w:t xml:space="preserve">In the final relation,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a geometric factor which depends upon the</w:t>
      </w:r>
      <w:r>
        <w:t xml:space="preserve"> </w:t>
      </w:r>
      <w:r>
        <w:t xml:space="preserve">geometry of all four electrodes. Finally, we can define apparent resistivity</w:t>
      </w:r>
      <w:r>
        <w:t xml:space="preserve"> </w:t>
      </w:r>
      <w:r>
        <w:t xml:space="preserve">(discussed in the measurements section) by rearranging the last expression to</w:t>
      </w:r>
      <w:r>
        <w:t xml:space="preserve"> </w:t>
      </w:r>
      <w:r>
        <w:t xml:space="preserve">give: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ρ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V</m:t>
              </m:r>
            </m:num>
            <m:den>
              <m:r>
                <m:t>I</m:t>
              </m:r>
              <m:r>
                <m:t>G</m:t>
              </m:r>
            </m:den>
          </m:f>
        </m:oMath>
      </m:oMathPara>
    </w:p>
    <w:p>
      <w:pPr>
        <w:pStyle w:val="FirstParagraph"/>
      </w:pPr>
      <w:r>
        <w:t xml:space="preserve">Similarly, the apparent conductivity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ρ</m:t>
                  </m:r>
                </m:e>
                <m:sub>
                  <m:r>
                    <m:t>a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I</m:t>
              </m:r>
              <m:r>
                <m:t>G</m:t>
              </m:r>
            </m:num>
            <m:den>
              <m:r>
                <m:t>Δ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We use the term</w:t>
      </w:r>
      <w:r>
        <w:t xml:space="preserve"> </w:t>
      </w:r>
      <w:r>
        <w:rPr>
          <w:i/>
          <w:iCs/>
        </w:rPr>
        <w:t xml:space="preserve">apparent resistivity</w:t>
      </w:r>
      <w:r>
        <w:t xml:space="preserve"> </w:t>
      </w:r>
      <m:oMath>
        <m:sSub>
          <m:e>
            <m:r>
              <m:t>ρ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because it is the true resistivity</w:t>
      </w:r>
      <w:r>
        <w:t xml:space="preserve"> </w:t>
      </w:r>
      <w:r>
        <w:t xml:space="preserve">of materials only if the Earth is a uniform halfspace within range of the</w:t>
      </w:r>
      <w:r>
        <w:t xml:space="preserve"> </w:t>
      </w:r>
      <w:r>
        <w:t xml:space="preserve">survey. Otherwise, this number represents some complicated averaging of the</w:t>
      </w:r>
      <w:r>
        <w:t xml:space="preserve"> </w:t>
      </w:r>
      <w:r>
        <w:t xml:space="preserve">resistivities of all materials encountered by the current field.</w:t>
      </w:r>
    </w:p>
    <w:p>
      <w:pPr>
        <w:pStyle w:val="BodyText"/>
      </w:pPr>
      <w:r>
        <w:t xml:space="preserve">For any survey we can compute the apparent resistivity if measured voltage,</w:t>
      </w:r>
      <w:r>
        <w:t xml:space="preserve"> </w:t>
      </w:r>
      <m:oMath>
        <m:r>
          <m:t>I</m:t>
        </m:r>
      </m:oMath>
      <w:r>
        <w:t xml:space="preserve">, and the geometric factor,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are known. Sometimes there is a</w:t>
      </w:r>
      <w:r>
        <w:t xml:space="preserve"> </w:t>
      </w:r>
      <w:r>
        <w:t xml:space="preserve">simple expression for</w:t>
      </w:r>
      <w:r>
        <w:t xml:space="preserve"> </w:t>
      </w:r>
      <m:oMath>
        <m:r>
          <m:t>G</m:t>
        </m:r>
      </m:oMath>
      <w:r>
        <w:t xml:space="preserve">. For example, if electrodes are spaced equally</w:t>
      </w:r>
      <w:r>
        <w:t xml:space="preserve"> </w:t>
      </w:r>
      <w:r>
        <w:t xml:space="preserve">by a distance</w:t>
      </w:r>
      <w:r>
        <w:t xml:space="preserve"> </w:t>
      </w:r>
      <m:oMath>
        <m:r>
          <m:t>a</m:t>
        </m:r>
      </m:oMath>
      <w:r>
        <w:t xml:space="preserve">, then:</w:t>
      </w:r>
    </w:p>
    <w:p>
      <w:pPr>
        <w:pStyle w:val="BlockText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a</m:t>
                  </m:r>
                </m:den>
              </m:f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>
                    <m:t>a</m:t>
                  </m:r>
                </m:den>
              </m:f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>
                    <m:t>a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a</m:t>
                  </m:r>
                </m:den>
              </m:f>
            </m:num>
            <m:den>
              <m:r>
                <m:t>2</m:t>
              </m:r>
              <m:r>
                <m:t>π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π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This is the case for the "Wenner" array shown in</w:t>
      </w:r>
      <w:r>
        <w:t xml:space="preserve"> </w:t>
      </w:r>
      <w:r>
        <w:rPr>
          <w:rStyle w:val="VerbatimChar"/>
        </w:rPr>
        <w:t xml:space="preserve">Survey Configuration</w:t>
      </w:r>
      <w:r>
        <w:t xml:space="preserve">, which summarizes</w:t>
      </w:r>
      <w:r>
        <w:t xml:space="preserve"> </w:t>
      </w:r>
      <w:r>
        <w:t xml:space="preserve">the geometric factor for a variety of common electrode configurations. Note</w:t>
      </w:r>
      <w:r>
        <w:t xml:space="preserve"> </w:t>
      </w:r>
      <w:r>
        <w:t xml:space="preserve">that in this figure,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G</m:t>
        </m:r>
      </m:oMath>
      <w:r>
        <w:t xml:space="preserve"> </w:t>
      </w:r>
      <w:r>
        <w:t xml:space="preserve">. Usage of the various arrays is illustrated</w:t>
      </w:r>
      <w:r>
        <w:t xml:space="preserve"> </w:t>
      </w:r>
      <w:r>
        <w:t xml:space="preserve">in the next section.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bookmarkStart w:id="21" w:name="Survey Configuration"/>
            <w:r>
              <w:t xml:space="preserve">./images/figure6.gif</w:t>
            </w:r>
            <w:bookmarkEnd w:id="21"/>
          </w:p>
        </w:tc>
      </w:tr>
    </w:tbl>
    <w:p>
      <w:pPr>
        <w:pStyle w:val="ImageCaption"/>
      </w:pPr>
      <w:r>
        <w:t xml:space="preserve">Survey configurations for DC resistivity surveying.</w:t>
      </w:r>
    </w:p>
    <w:bookmarkEnd w:id="22"/>
    <w:bookmarkStart w:id="25" w:name="plotting-raw-data"/>
    <w:p>
      <w:pPr>
        <w:pStyle w:val="Heading1"/>
      </w:pPr>
      <w:r>
        <w:t xml:space="preserve">Plotting raw data</w:t>
      </w:r>
    </w:p>
    <w:p>
      <w:pPr>
        <w:pStyle w:val="FirstParagraph"/>
      </w:pPr>
      <w:r>
        <w:t xml:space="preserve">How are apparent resistivities (calculated from measured potentials, currents</w:t>
      </w:r>
      <w:r>
        <w:t xml:space="preserve"> </w:t>
      </w:r>
      <w:r>
        <w:t xml:space="preserve">and geometries) displayed for direct interpretation or for quality assessment?</w:t>
      </w:r>
      <w:r>
        <w:t xml:space="preserve"> </w:t>
      </w:r>
      <w:r>
        <w:t xml:space="preserve">There is one conventional plotting scheme for soundings, while plotting of</w:t>
      </w:r>
      <w:r>
        <w:t xml:space="preserve"> </w:t>
      </w:r>
      <w:r>
        <w:t xml:space="preserve">profiles depends upon the survey configuration.</w:t>
      </w:r>
    </w:p>
    <w:bookmarkStart w:id="23" w:name="soundings"/>
    <w:p>
      <w:pPr>
        <w:pStyle w:val="Heading2"/>
      </w:pPr>
      <w:r>
        <w:t xml:space="preserve">Soundings</w:t>
      </w:r>
    </w:p>
    <w:p>
      <w:pPr>
        <w:pStyle w:val="FirstParagraph"/>
      </w:pPr>
      <w:r>
        <w:t xml:space="preserve">Soundings are used when the earth's electrical structure needs to be</w:t>
      </w:r>
      <w:r>
        <w:t xml:space="preserve"> </w:t>
      </w:r>
      <w:r>
        <w:t xml:space="preserve">interpreted in terms of layers under a single location at the surface. The</w:t>
      </w:r>
      <w:r>
        <w:t xml:space="preserve"> </w:t>
      </w:r>
      <w:r>
        <w:t xml:space="preserve">electrode spacings are varied symmetrically about a central location.</w:t>
      </w:r>
    </w:p>
    <w:bookmarkEnd w:id="23"/>
    <w:bookmarkStart w:id="24" w:name="profiling"/>
    <w:p>
      <w:pPr>
        <w:pStyle w:val="Heading2"/>
      </w:pPr>
      <w:r>
        <w:t xml:space="preserve">Profiling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./images/Pseudo_PDP_East.gif</w:t>
            </w:r>
          </w:p>
        </w:tc>
      </w:tr>
    </w:tbl>
    <w:p>
      <w:pPr>
        <w:pStyle w:val="FirstParagraph"/>
      </w:pPr>
      <w:r>
        <w:t xml:space="preserve">Simple profiling involves moving a fixed array of four electrodes along a</w:t>
      </w:r>
      <w:r>
        <w:t xml:space="preserve"> </w:t>
      </w:r>
      <w:r>
        <w:t xml:space="preserve">survey line. If there are no changes of spacing, then a simple graph of</w:t>
      </w:r>
      <w:r>
        <w:t xml:space="preserve"> </w:t>
      </w:r>
      <w:r>
        <w:t xml:space="preserve">apparent resistivity versus line position would be adequate. A contour plot</w:t>
      </w:r>
      <w:r>
        <w:t xml:space="preserve"> </w:t>
      </w:r>
      <w:r>
        <w:t xml:space="preserve">could be created if there is suitable coverage of the area.</w:t>
      </w:r>
    </w:p>
    <w:p>
      <w:pPr>
        <w:pStyle w:val="BodyText"/>
      </w:pPr>
      <w:r>
        <w:rPr>
          <w:b/>
          <w:bCs/>
        </w:rPr>
        <w:t xml:space="preserve">Pseudosections:</w:t>
      </w:r>
      <w:r>
        <w:t xml:space="preserve"> </w:t>
      </w:r>
      <w:r>
        <w:t xml:space="preserve">When profiling, potentials are usually measured at several</w:t>
      </w:r>
      <w:r>
        <w:t xml:space="preserve"> </w:t>
      </w:r>
      <w:r>
        <w:t xml:space="preserve">positions for every current source location. Results at wider separations</w:t>
      </w:r>
      <w:r>
        <w:t xml:space="preserve"> </w:t>
      </w:r>
      <w:r>
        <w:t xml:space="preserve">between the potential pair and the transmitter pair provide some information</w:t>
      </w:r>
      <w:r>
        <w:t xml:space="preserve"> </w:t>
      </w:r>
      <w:r>
        <w:t xml:space="preserve">about deeper structures. The conventional method of plotting such results is</w:t>
      </w:r>
      <w:r>
        <w:t xml:space="preserve"> </w:t>
      </w:r>
      <w:r>
        <w:t xml:space="preserve">the pseudosection, so called because it is not a true geological cross-section. Values of apparent resistivity are plotted on the graph as shown in</w:t>
      </w:r>
      <w:r>
        <w:t xml:space="preserve"> </w:t>
      </w:r>
      <w:r>
        <w:t xml:space="preserve">Figures 9 and 10. The vertical axis represents separation distance, NOT</w:t>
      </w:r>
      <w:r>
        <w:t xml:space="preserve"> </w:t>
      </w:r>
      <w:r>
        <w:t xml:space="preserve">depth. When all values are plotted, the result is contoured. Interpretation</w:t>
      </w:r>
      <w:r>
        <w:t xml:space="preserve"> </w:t>
      </w:r>
      <w:r>
        <w:t xml:space="preserve">is tricky and requires some experience.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./images/figure9.gif</w:t>
            </w:r>
          </w:p>
        </w:tc>
      </w:tr>
    </w:tbl>
    <w:p>
      <w:pPr>
        <w:pStyle w:val="ImageCaption"/>
      </w:pPr>
      <w:r>
        <w:t xml:space="preserve">Figure 9. Plotting a pseudosection of dipole-dipole data: current</w:t>
      </w:r>
      <w:r>
        <w:t xml:space="preserve"> </w:t>
      </w:r>
      <w:r>
        <w:t xml:space="preserve">electrodes are spaced a meters apart (same for potential electrodes), and</w:t>
      </w:r>
      <w:r>
        <w:t xml:space="preserve"> </w:t>
      </w:r>
      <w:r>
        <w:t xml:space="preserve">current-voltage separation is n×a meters (n is an integer).</w:t>
      </w:r>
    </w:p>
    <w:p>
      <w:pPr>
        <w:pStyle w:val="FirstParagraph"/>
      </w:pPr>
      <w:r>
        <w:t xml:space="preserve">In the animation in Figure 10, the process of gathering and plotting profiling</w:t>
      </w:r>
      <w:r>
        <w:t xml:space="preserve"> </w:t>
      </w:r>
      <w:r>
        <w:t xml:space="preserve">data is illustrated. The survey illustrated involves a dipole-dipole array</w:t>
      </w:r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meters, 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Gradient array:</w:t>
      </w:r>
      <w:r>
        <w:t xml:space="preserve"> </w:t>
      </w:r>
      <w:r>
        <w:t xml:space="preserve">Large scale reconnaissance surveys are sometimes done using</w:t>
      </w:r>
      <w:r>
        <w:t xml:space="preserve"> </w:t>
      </w:r>
      <w:r>
        <w:t xml:space="preserve">the gradient array (Figure 7e above). If the current sources are not moved,</w:t>
      </w:r>
      <w:r>
        <w:t xml:space="preserve"> </w:t>
      </w:r>
      <w:r>
        <w:t xml:space="preserve">then the energizing field is the same for all measurements. There is,</w:t>
      </w:r>
      <w:r>
        <w:t xml:space="preserve"> </w:t>
      </w:r>
      <w:r>
        <w:t xml:space="preserve">therefore, no inherent information about variations with depth, just like</w:t>
      </w:r>
      <w:r>
        <w:t xml:space="preserve"> </w:t>
      </w:r>
      <w:r>
        <w:t xml:space="preserve">the case of gravity and magnetic surveys. Gradient array surveys are often</w:t>
      </w:r>
      <w:r>
        <w:t xml:space="preserve"> </w:t>
      </w:r>
      <w:r>
        <w:t xml:space="preserve">displayed simply by contour plotting the results.</w:t>
      </w:r>
    </w:p>
    <w:p>
      <w:pPr>
        <w:pStyle w:val="BodyText"/>
      </w:pPr>
      <w:r>
        <w:rPr>
          <w:b/>
          <w:bCs/>
        </w:rPr>
        <w:t xml:space="preserve">Real Sections:</w:t>
      </w:r>
      <w:r>
        <w:t xml:space="preserve"> </w:t>
      </w:r>
      <w:r>
        <w:t xml:space="preserve">There is one variation of the gradient array that provides</w:t>
      </w:r>
      <w:r>
        <w:t xml:space="preserve"> </w:t>
      </w:r>
      <w:r>
        <w:t xml:space="preserve">limited information about structures at depth. It is run under the trade</w:t>
      </w:r>
      <w:r>
        <w:t xml:space="preserve"> </w:t>
      </w:r>
      <w:r>
        <w:t xml:space="preserve">name "real-section," but the plot is still a "pseudosection" because</w:t>
      </w:r>
      <w:r>
        <w:t xml:space="preserve"> </w:t>
      </w:r>
      <w:r>
        <w:t xml:space="preserve">apparent resistivity data are plotted with no attempt to convert apparent</w:t>
      </w:r>
      <w:r>
        <w:t xml:space="preserve"> </w:t>
      </w:r>
      <w:r>
        <w:t xml:space="preserve">(measured) resistivities into true (intrinsic) resistivities. In the</w:t>
      </w:r>
      <w:r>
        <w:t xml:space="preserve"> </w:t>
      </w:r>
      <w:r>
        <w:t xml:space="preserve">following figures, red electrodes are the current source, and blue</w:t>
      </w:r>
      <w:r>
        <w:t xml:space="preserve"> </w:t>
      </w:r>
      <w:r>
        <w:t xml:space="preserve">electrodes are the potential measurement electrodes. A row of potential</w:t>
      </w:r>
      <w:r>
        <w:t xml:space="preserve"> </w:t>
      </w:r>
      <w:r>
        <w:t xml:space="preserve">measurements at fixed "a" spacing is gathered for each pair of current</w:t>
      </w:r>
      <w:r>
        <w:t xml:space="preserve"> </w:t>
      </w:r>
      <w:r>
        <w:t xml:space="preserve">electrode placements. This is basically a set of seven (in this case)</w:t>
      </w:r>
      <w:r>
        <w:t xml:space="preserve"> </w:t>
      </w:r>
      <w:r>
        <w:t xml:space="preserve">gradient surveys along the same line. At four stages in acquisition, the</w:t>
      </w:r>
      <w:r>
        <w:t xml:space="preserve"> </w:t>
      </w:r>
      <w:r>
        <w:t xml:space="preserve">data look like the following:</w:t>
      </w:r>
    </w:p>
    <w:p>
      <w:pPr>
        <w:pStyle w:val="FirstParagraph"/>
      </w:pPr>
      <w:r>
        <w:rPr>
          <w:b/>
          <w:bCs/>
        </w:rPr>
        <w:t xml:space="preserve">Choice of array:</w:t>
      </w:r>
      <w:r>
        <w:t xml:space="preserve"> </w:t>
      </w:r>
      <w:r>
        <w:t xml:space="preserve">Does the choice of array type matter for profiling?</w:t>
      </w:r>
      <w:r>
        <w:t xml:space="preserve"> </w:t>
      </w:r>
      <w:r>
        <w:t xml:space="preserve">Appendix II has a brief comparison of pseudosections and the results of</w:t>
      </w:r>
      <w:r>
        <w:t xml:space="preserve"> </w:t>
      </w:r>
      <w:r>
        <w:t xml:space="preserve">inverting data gathered using the arrays.</w:t>
      </w:r>
    </w:p>
    <w:bookmarkEnd w:id="24"/>
    <w:bookmarkEnd w:id="25"/>
    <w:bookmarkStart w:id="26" w:name="processing-options"/>
    <w:p>
      <w:pPr>
        <w:pStyle w:val="Heading1"/>
      </w:pPr>
      <w:r>
        <w:t xml:space="preserve">Processing options</w:t>
      </w:r>
    </w:p>
    <w:p>
      <w:pPr>
        <w:pStyle w:val="FirstParagraph"/>
      </w:pPr>
      <w:r>
        <w:t xml:space="preserve">Very little processing is applied to most raw resistivity data, other than to</w:t>
      </w:r>
      <w:r>
        <w:t xml:space="preserve"> </w:t>
      </w:r>
      <w:r>
        <w:t xml:space="preserve">convert from apparent resistivities to potentials if that is needed for input</w:t>
      </w:r>
      <w:r>
        <w:t xml:space="preserve"> </w:t>
      </w:r>
      <w:r>
        <w:t xml:space="preserve">to inversion programs. This is accomplished by using the apparent resistivity</w:t>
      </w:r>
      <w:r>
        <w:t xml:space="preserve"> </w:t>
      </w:r>
      <w:r>
        <w:t xml:space="preserve">formula for the array in use, and the known geometric factor. If the current,</w:t>
      </w:r>
      <w:r>
        <w:t xml:space="preserve"> </w:t>
      </w:r>
      <m:oMath>
        <m:r>
          <m:t>I</m:t>
        </m:r>
      </m:oMath>
      <w:r>
        <w:t xml:space="preserve">, is taken to be 1 (even if it was not 1 Amp in the field), then the</w:t>
      </w:r>
      <w:r>
        <w:t xml:space="preserve"> </w:t>
      </w:r>
      <w:r>
        <w:t xml:space="preserve">result is a normalized potential in units of volts.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</dc:title>
  <dc:creator/>
  <cp:keywords/>
  <dcterms:created xsi:type="dcterms:W3CDTF">2025-01-16T09:28:50Z</dcterms:created>
  <dcterms:modified xsi:type="dcterms:W3CDTF">2025-01-16T09:28:50Z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