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Interpretation</w:t>
      </w:r>
    </w:p>
    <w:bookmarkStart w:id="22" w:name="dcr_interpretation_appRes"/>
    <w:p>
      <w:pPr>
        <w:pStyle w:val="Heading1"/>
      </w:pPr>
      <w:r>
        <w:t xml:space="preserve">Apparent Resistivities</w:t>
      </w:r>
    </w:p>
    <w:p>
      <w:pPr>
        <w:pStyle w:val="FirstParagraph"/>
      </w:pPr>
      <w:r>
        <w:t xml:space="preserve">Plotting apparent resistivities, as pseudosections or in plan-view maps, is</w:t>
      </w:r>
      <w:r>
        <w:t xml:space="preserve"> </w:t>
      </w:r>
      <w:r>
        <w:t xml:space="preserve">informative. The images are useful for recognizing data</w:t>
      </w:r>
      <w:r>
        <w:t xml:space="preserve"> </w:t>
      </w:r>
      <w:r>
        <w:t xml:space="preserve">outliers</w:t>
      </w:r>
      <w:r>
        <w:t xml:space="preserve">, bad</w:t>
      </w:r>
      <w:r>
        <w:t xml:space="preserve"> </w:t>
      </w:r>
      <w:r>
        <w:t xml:space="preserve">electrodes, and validating normalizations that might have been applied to the</w:t>
      </w:r>
      <w:r>
        <w:t xml:space="preserve"> </w:t>
      </w:r>
      <w:r>
        <w:t xml:space="preserve">data. In addition, they sometimes provide valuable information about earth</w:t>
      </w:r>
      <w:r>
        <w:t xml:space="preserve"> </w:t>
      </w:r>
      <w:r>
        <w:t xml:space="preserve">structure.</w:t>
      </w:r>
    </w:p>
    <w:p>
      <w:pPr>
        <w:pStyle w:val="BodyText"/>
      </w:pPr>
      <w:r>
        <w:t xml:space="preserve">As an illustration,</w:t>
      </w:r>
      <w:r>
        <w:t xml:space="preserve"> </w:t>
      </w:r>
      <w:r>
        <w:rPr>
          <w:rStyle w:val="VerbatimChar"/>
        </w:rPr>
        <w:t xml:space="preserve">DCR_DpDp_Simple</w:t>
      </w:r>
      <w:r>
        <w:t xml:space="preserve"> </w:t>
      </w:r>
      <w:r>
        <w:t xml:space="preserve">(a) shows an earth model</w:t>
      </w:r>
      <w:r>
        <w:t xml:space="preserve"> </w:t>
      </w:r>
      <w:r>
        <w:t xml:space="preserve">consisting of a single prism (</w:t>
      </w:r>
      <m:oMath>
        <m:r>
          <m:t>ρ</m:t>
        </m:r>
        <m:r>
          <m:rPr>
            <m:sty m:val="p"/>
          </m:rPr>
          <m:t>=</m:t>
        </m:r>
        <m:r>
          <m:t>10</m:t>
        </m:r>
        <m:r>
          <m:t> </m:t>
        </m:r>
        <m:r>
          <m:t>Ω</m:t>
        </m:r>
        <m:r>
          <m:rPr>
            <m:sty m:val="p"/>
          </m:rPr>
          <m:t>⋅</m:t>
        </m:r>
        <m:r>
          <m:t>m</m:t>
        </m:r>
      </m:oMath>
      <w:r>
        <w:t xml:space="preserve">) buried in a</w:t>
      </w:r>
      <w:r>
        <w:t xml:space="preserve"> </w:t>
      </w:r>
      <w:r>
        <w:t xml:space="preserve">uniform halfspace (</w:t>
      </w:r>
      <m:oMath>
        <m:r>
          <m:t>ρ</m:t>
        </m:r>
        <m:r>
          <m:rPr>
            <m:sty m:val="p"/>
          </m:rPr>
          <m:t>=</m:t>
        </m:r>
        <m:r>
          <m:t>100</m:t>
        </m:r>
        <m:r>
          <m:t> </m:t>
        </m:r>
        <m:r>
          <m:t>Ω</m:t>
        </m:r>
        <m:r>
          <m:rPr>
            <m:sty m:val="p"/>
          </m:rPr>
          <m:t>⋅</m:t>
        </m:r>
        <m:r>
          <m:t>m</m:t>
        </m:r>
      </m:oMath>
      <w:r>
        <w:t xml:space="preserve">). A dipole-dipole survey</w:t>
      </w:r>
      <w:r>
        <w:t xml:space="preserve"> </w:t>
      </w:r>
      <w:r>
        <w:t xml:space="preserve">is carried out along a line that passes directly above the conductive prism.</w:t>
      </w:r>
      <w:r>
        <w:t xml:space="preserve"> </w:t>
      </w:r>
      <w:r>
        <w:t xml:space="preserve">The resulting pseudosection is shown in</w:t>
      </w:r>
      <w:r>
        <w:t xml:space="preserve"> </w:t>
      </w:r>
      <w:r>
        <w:rPr>
          <w:rStyle w:val="VerbatimChar"/>
        </w:rPr>
        <w:t xml:space="preserve">DCR_DpDp_Simple</w:t>
      </w:r>
      <w:r>
        <w:t xml:space="preserve"> </w:t>
      </w:r>
      <w:r>
        <w:t xml:space="preserve">(b). The</w:t>
      </w:r>
      <w:r>
        <w:t xml:space="preserve"> </w:t>
      </w:r>
      <w:r>
        <w:t xml:space="preserve">prism is manifested as a region of lower apparent resistivity in the center of</w:t>
      </w:r>
      <w:r>
        <w:t xml:space="preserve"> </w:t>
      </w:r>
      <w:r>
        <w:t xml:space="preserve">the image and there are</w:t>
      </w:r>
      <w:r>
        <w:t xml:space="preserve"> </w:t>
      </w:r>
      <w:r>
        <w:t xml:space="preserve">wings</w:t>
      </w:r>
      <w:r>
        <w:t xml:space="preserve"> </w:t>
      </w:r>
      <w:r>
        <w:t xml:space="preserve">extending outwards and downward. The apex of</w:t>
      </w:r>
      <w:r>
        <w:t xml:space="preserve"> </w:t>
      </w:r>
      <w:r>
        <w:t xml:space="preserve">the image can be used to estimate the horizontal location of the prism but the</w:t>
      </w:r>
      <w:r>
        <w:t xml:space="preserve"> </w:t>
      </w:r>
      <w:r>
        <w:t xml:space="preserve">depth to the body is less evident since the vertical scale of the</w:t>
      </w:r>
      <w:r>
        <w:t xml:space="preserve"> </w:t>
      </w:r>
      <w:r>
        <w:t xml:space="preserve">pseudosection is in</w:t>
      </w:r>
      <w:r>
        <w:t xml:space="preserve"> </w:t>
      </w:r>
      <w:r>
        <w:t xml:space="preserve">n-values</w:t>
      </w:r>
      <w:r>
        <w:t xml:space="preserve"> </w:t>
      </w:r>
      <w:r>
        <w:t xml:space="preserve">and not in meters.</w:t>
      </w:r>
    </w:p>
    <w:p>
      <w:pPr>
        <w:pStyle w:val="BodyText"/>
      </w:pPr>
      <w:r>
        <w:t xml:space="preserve">Despite the above success, the situation worsens if the earth is more complex.</w:t>
      </w:r>
      <w:r>
        <w:t xml:space="preserve"> </w:t>
      </w:r>
      <w:r>
        <w:t xml:space="preserve">This is illustrated in</w:t>
      </w:r>
      <w:r>
        <w:t xml:space="preserve"> </w:t>
      </w:r>
      <w:r>
        <w:rPr>
          <w:rStyle w:val="VerbatimChar"/>
        </w:rPr>
        <w:t xml:space="preserve">DCR_DpDp_Simple</w:t>
      </w:r>
      <w:r>
        <w:t xml:space="preserve"> </w:t>
      </w:r>
      <w:r>
        <w:t xml:space="preserve">(c) where some near-surface</w:t>
      </w:r>
      <w:r>
        <w:t xml:space="preserve"> </w:t>
      </w:r>
      <w:r>
        <w:t xml:space="preserve">inhomogeneities are added. The same dipole-dipole survey is carried out and</w:t>
      </w:r>
      <w:r>
        <w:t xml:space="preserve"> </w:t>
      </w:r>
      <w:r>
        <w:t xml:space="preserve">resultant pseudosection is shown in</w:t>
      </w:r>
      <w:r>
        <w:t xml:space="preserve"> </w:t>
      </w:r>
      <w:r>
        <w:rPr>
          <w:rStyle w:val="VerbatimChar"/>
        </w:rPr>
        <w:t xml:space="preserve">DCR_DpDp_Simple</w:t>
      </w:r>
      <w:r>
        <w:t xml:space="preserve"> </w:t>
      </w:r>
      <w:r>
        <w:t xml:space="preserve">(d). The</w:t>
      </w:r>
      <w:r>
        <w:t xml:space="preserve"> </w:t>
      </w:r>
      <w:r>
        <w:t xml:space="preserve">response of the prism is masked and attempting to infer existence and location</w:t>
      </w:r>
      <w:r>
        <w:t xml:space="preserve"> </w:t>
      </w:r>
      <w:r>
        <w:t xml:space="preserve">of the prism is extremely challenging.</w:t>
      </w:r>
    </w:p>
    <w:p>
      <w:pPr>
        <w:pStyle w:val="BodyText"/>
      </w:pPr>
      <w:r>
        <w:t xml:space="preserve">This example can be downloaded</w:t>
      </w:r>
      <w:r>
        <w:t xml:space="preserve"> </w:t>
      </w:r>
      <w:r>
        <w:rPr>
          <w:rStyle w:val="VerbatimChar"/>
        </w:rPr>
        <w:t xml:space="preserve">here&lt;dcr_synthetics&gt;</w:t>
      </w:r>
      <w:r>
        <w:t xml:space="preserve">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bookmarkStart w:id="20" w:name="DCR_DpDp_Simple"/>
            <w:r>
              <w:t xml:space="preserve">images/DCR_DpDp_Simple.png</w:t>
            </w:r>
            <w:bookmarkEnd w:id="20"/>
          </w:p>
        </w:tc>
      </w:tr>
    </w:tbl>
    <w:p>
      <w:pPr>
        <w:pStyle w:val="ImageCaption"/>
      </w:pPr>
      <w:r>
        <w:t xml:space="preserve">: (a) Vertical section through a simple conductive prism (</w:t>
      </w:r>
      <m:oMath>
        <m:r>
          <m:t>ρ</m:t>
        </m:r>
        <m:r>
          <m:rPr>
            <m:sty m:val="p"/>
          </m:rPr>
          <m:t>=</m:t>
        </m:r>
        <m:r>
          <m:t>10</m:t>
        </m:r>
        <m:r>
          <m:t> </m:t>
        </m:r>
        <m:r>
          <m:t>Ω</m:t>
        </m:r>
        <m:r>
          <m:rPr>
            <m:sty m:val="p"/>
          </m:rPr>
          <m:t>⋅</m:t>
        </m:r>
        <m:r>
          <m:t>m</m:t>
        </m:r>
      </m:oMath>
      <w:r>
        <w:t xml:space="preserve">) buried in a homogeneous halfspace</w:t>
      </w:r>
      <w:r>
        <w:t xml:space="preserve"> </w:t>
      </w:r>
      <m:oMath>
        <m:r>
          <m:t>ρ</m:t>
        </m:r>
        <m:r>
          <m:rPr>
            <m:sty m:val="p"/>
          </m:rPr>
          <m:t>=</m:t>
        </m:r>
        <m:r>
          <m:t>100</m:t>
        </m:r>
        <m:r>
          <m:t> </m:t>
        </m:r>
        <m:r>
          <m:t>Ω</m:t>
        </m:r>
        <m:r>
          <m:rPr>
            <m:sty m:val="p"/>
          </m:rPr>
          <m:t>⋅</m:t>
        </m:r>
        <m:r>
          <m:t>m</m:t>
        </m:r>
      </m:oMath>
      <w:r>
        <w:t xml:space="preserve">. Source and receiver locations for a dipole-dipole survey are shown for reference.</w:t>
      </w:r>
      <w:r>
        <w:t xml:space="preserve"> </w:t>
      </w:r>
      <w:r>
        <w:t xml:space="preserve">(b) Pseudosection of apparent resistivity calculated from the synthetic DCR survey.</w:t>
      </w:r>
      <w:r>
        <w:t xml:space="preserve"> </w:t>
      </w:r>
      <w:r>
        <w:t xml:space="preserve">(c) Vertical section through a more complicated resistivity model with near-surface inhomogeneities added and (d) resulting pseudosection of apparent resistivity.</w:t>
      </w:r>
    </w:p>
    <w:p>
      <w:pPr>
        <w:pStyle w:val="BodyText"/>
      </w:pPr>
      <w:r>
        <w:t xml:space="preserve">Gradient array surveys are often used in reconnaissance modes and it is insightful to repeat the</w:t>
      </w:r>
      <w:r>
        <w:t xml:space="preserve"> </w:t>
      </w:r>
      <w:r>
        <w:t xml:space="preserve">above analysis with a representative example. A plan view of the resistivity</w:t>
      </w:r>
      <w:r>
        <w:t xml:space="preserve"> </w:t>
      </w:r>
      <w:r>
        <w:t xml:space="preserve">model and electrode geometry is shown in</w:t>
      </w:r>
      <w:r>
        <w:t xml:space="preserve"> </w:t>
      </w:r>
      <w:r>
        <w:rPr>
          <w:rStyle w:val="VerbatimChar"/>
        </w:rPr>
        <w:t xml:space="preserve">DCR_Grad_Simple</w:t>
      </w:r>
      <w:r>
        <w:t xml:space="preserve"> </w:t>
      </w:r>
      <w:r>
        <w:t xml:space="preserve">(a). The</w:t>
      </w:r>
      <w:r>
        <w:t xml:space="preserve"> </w:t>
      </w:r>
      <w:r>
        <w:t xml:space="preserve">survey consists of a grid of 13 x 13 receivers located between a 450 meter</w:t>
      </w:r>
      <w:r>
        <w:t xml:space="preserve"> </w:t>
      </w:r>
      <w:r>
        <w:t xml:space="preserve">dipole current source. Each receiver is a 20 meter dipole. The corresponding</w:t>
      </w:r>
      <w:r>
        <w:t xml:space="preserve"> </w:t>
      </w:r>
      <w:r>
        <w:t xml:space="preserve">apparent resistivity map is shown in</w:t>
      </w:r>
      <w:r>
        <w:t xml:space="preserve"> </w:t>
      </w:r>
      <w:r>
        <w:rPr>
          <w:rStyle w:val="VerbatimChar"/>
        </w:rPr>
        <w:t xml:space="preserve">DCR_Grad_Simple</w:t>
      </w:r>
      <w:r>
        <w:t xml:space="preserve"> </w:t>
      </w:r>
      <w:r>
        <w:t xml:space="preserve">(b). An</w:t>
      </w:r>
      <w:r>
        <w:t xml:space="preserve"> </w:t>
      </w:r>
      <w:r>
        <w:t xml:space="preserve">estimate of the horizontal location of the center of the prism can be</w:t>
      </w:r>
      <w:r>
        <w:t xml:space="preserve"> </w:t>
      </w:r>
      <w:r>
        <w:t xml:space="preserve">obtained, but again there is no quantitative information about the depth.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bookmarkStart w:id="21" w:name="DCR_Grad_Simple"/>
            <w:r>
              <w:t xml:space="preserve">images/DCR_Grad_Simple.png</w:t>
            </w:r>
            <w:bookmarkEnd w:id="21"/>
          </w:p>
        </w:tc>
      </w:tr>
    </w:tbl>
    <w:p>
      <w:pPr>
        <w:pStyle w:val="ImageCaption"/>
      </w:pPr>
      <w:r>
        <w:t xml:space="preserve">: (a) Bird-eye view of gradient array survey over a simple conductive prism model (</w:t>
      </w:r>
      <m:oMath>
        <m:r>
          <m:t>ρ</m:t>
        </m:r>
        <m:r>
          <m:rPr>
            <m:sty m:val="p"/>
          </m:rPr>
          <m:t>=</m:t>
        </m:r>
        <m:r>
          <m:t>10</m:t>
        </m:r>
        <m:r>
          <m:t> </m:t>
        </m:r>
        <m:r>
          <m:t>Ω</m:t>
        </m:r>
        <m:r>
          <m:rPr>
            <m:sty m:val="p"/>
          </m:rPr>
          <m:t>⋅</m:t>
        </m:r>
        <m:r>
          <m:t>m</m:t>
        </m:r>
      </m:oMath>
      <w:r>
        <w:t xml:space="preserve">) buried in a uniform halfspace (</w:t>
      </w:r>
      <m:oMath>
        <m:r>
          <m:t>ρ</m:t>
        </m:r>
        <m:r>
          <m:rPr>
            <m:sty m:val="p"/>
          </m:rPr>
          <m:t>=</m:t>
        </m:r>
        <m:r>
          <m:t>100</m:t>
        </m:r>
        <m:r>
          <m:t> </m:t>
        </m:r>
        <m:r>
          <m:t>Ω</m:t>
        </m:r>
        <m:r>
          <m:rPr>
            <m:sty m:val="p"/>
          </m:rPr>
          <m:t>⋅</m:t>
        </m:r>
        <m:r>
          <m:t>m</m:t>
        </m:r>
      </m:oMath>
      <w:r>
        <w:t xml:space="preserve">) and</w:t>
      </w:r>
      <w:r>
        <w:t xml:space="preserve"> </w:t>
      </w:r>
      <w:r>
        <w:t xml:space="preserve">(b) corresponding apparent conductivity map. By simple inspection of the data map, it is easy to locate the center of the conductive anomaly.</w:t>
      </w:r>
      <w:r>
        <w:t xml:space="preserve"> </w:t>
      </w:r>
      <w:r>
        <w:t xml:space="preserve">(c) The experiment is replicated with a more complicated conductivity model with near-surface inhomogeneities added. Direct interpretation of the resulting apparent resistivity map</w:t>
      </w:r>
      <w:r>
        <w:t xml:space="preserve"> </w:t>
      </w:r>
      <w:r>
        <w:t xml:space="preserve">(d) is challenging.</w:t>
      </w:r>
    </w:p>
    <w:p>
      <w:pPr>
        <w:pStyle w:val="BodyText"/>
      </w:pPr>
      <w:r>
        <w:t xml:space="preserve">Contaminating the model by adding some conductive and resistive features</w:t>
      </w:r>
      <w:r>
        <w:t xml:space="preserve"> </w:t>
      </w:r>
      <w:r>
        <w:t xml:space="preserve">(</w:t>
      </w:r>
      <w:r>
        <w:rPr>
          <w:rStyle w:val="VerbatimChar"/>
        </w:rPr>
        <w:t xml:space="preserve">DCR_Grad_Simple</w:t>
      </w:r>
      <w:r>
        <w:t xml:space="preserve"> </w:t>
      </w:r>
      <w:r>
        <w:t xml:space="preserve">(c)) leads to an apparent resistivity map that is</w:t>
      </w:r>
      <w:r>
        <w:t xml:space="preserve"> </w:t>
      </w:r>
      <w:r>
        <w:t xml:space="preserve">very complicated and in which the signal of the prism is masked</w:t>
      </w:r>
      <w:r>
        <w:t xml:space="preserve"> </w:t>
      </w:r>
      <w:r>
        <w:t xml:space="preserve">(</w:t>
      </w:r>
      <w:r>
        <w:rPr>
          <w:rStyle w:val="VerbatimChar"/>
        </w:rPr>
        <w:t xml:space="preserve">DCR_Grad_Simple</w:t>
      </w:r>
      <w:r>
        <w:t xml:space="preserve"> </w:t>
      </w:r>
      <w:r>
        <w:t xml:space="preserve">(d)). To obtain information about the electrical</w:t>
      </w:r>
      <w:r>
        <w:t xml:space="preserve"> </w:t>
      </w:r>
      <w:r>
        <w:t xml:space="preserve">conductivity we need to invert the data.</w:t>
      </w:r>
    </w:p>
    <w:bookmarkEnd w:id="22"/>
    <w:bookmarkStart w:id="24" w:name="dcr_interp_inversion"/>
    <w:p>
      <w:pPr>
        <w:pStyle w:val="Heading1"/>
      </w:pPr>
      <w:r>
        <w:t xml:space="preserve">Inversion of DCR data</w:t>
      </w:r>
    </w:p>
    <w:p>
      <w:pPr>
        <w:pStyle w:val="FirstParagraph"/>
      </w:pPr>
      <w:r>
        <w:t xml:space="preserve">The data are the measured voltages and the goal is to find an electrical conductivity that satisfactorily</w:t>
      </w:r>
      <w:r>
        <w:t xml:space="preserve"> </w:t>
      </w:r>
      <w:r>
        <w:t xml:space="preserve">reproduces these data and agrees with a priori geologic structure and</w:t>
      </w:r>
      <w:r>
        <w:t xml:space="preserve"> </w:t>
      </w:r>
      <w:r>
        <w:t xml:space="preserve">petrophysical constraints.</w:t>
      </w:r>
    </w:p>
    <w:p>
      <w:pPr>
        <w:pStyle w:val="BodyText"/>
      </w:pPr>
      <w:r>
        <w:t xml:space="preserve">To illustrate the importance of inverting the data, we take a two spheres setup, one resistive, one conductive.</w:t>
      </w:r>
      <w:r>
        <w:t xml:space="preserve"> </w:t>
      </w:r>
      <w:r>
        <w:t xml:space="preserve">Although the geology is 3D, we first invert the data using a 2D inversion algorithm. Parameters used for the</w:t>
      </w:r>
      <w:r>
        <w:t xml:space="preserve"> </w:t>
      </w:r>
      <w:r>
        <w:t xml:space="preserve">inversion of the dipole-dipole data (</w:t>
      </w:r>
      <w:r>
        <w:rPr>
          <w:rStyle w:val="VerbatimChar"/>
        </w:rPr>
        <w:t xml:space="preserve">DCR_TwoSpheres_Simple</w:t>
      </w:r>
      <w:r>
        <w:t xml:space="preserve"> </w:t>
      </w:r>
      <w:r>
        <w:t xml:space="preserve">(b)) are</w:t>
      </w:r>
      <w:r>
        <w:t xml:space="preserve"> </w:t>
      </w:r>
      <w:r>
        <w:t xml:space="preserve">provided in</w:t>
      </w:r>
      <w:r>
        <w:t xml:space="preserve"> </w:t>
      </w:r>
      <w:r>
        <w:rPr>
          <w:rStyle w:val="VerbatimChar"/>
        </w:rPr>
        <w:t xml:space="preserve">twospheres_inv_table</w:t>
      </w:r>
      <w:r>
        <w:t xml:space="preserve">.</w:t>
      </w:r>
    </w:p>
    <w:p>
      <w:pPr>
        <w:pStyle w:val="TableCaption"/>
      </w:pPr>
      <w:r>
        <w:t xml:space="preserve">: 2D Inversion parameters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  <w:tblCaption w:val=": 2D Inversion parameters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Number of sources</w:t>
            </w:r>
          </w:p>
        </w:tc>
        <w:tc>
          <w:tcPr/>
          <w:p>
            <w:pPr>
              <w:pStyle w:val="Compact"/>
            </w:pPr>
            <w:r>
              <w:t xml:space="preserve">43</w:t>
            </w:r>
          </w:p>
        </w:tc>
      </w:tr>
      <w:tr>
        <w:tc>
          <w:tcPr/>
          <w:p>
            <w:pPr>
              <w:pStyle w:val="Compact"/>
            </w:pPr>
            <w:r>
              <w:t xml:space="preserve">Number of data</w:t>
            </w:r>
          </w:p>
        </w:tc>
        <w:tc>
          <w:tcPr/>
          <w:p>
            <w:pPr>
              <w:pStyle w:val="Compact"/>
            </w:pPr>
            <w:r>
              <w:t xml:space="preserve">540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Data uncertainties</w:t>
            </w:r>
          </w:p>
        </w:tc>
        <w:tc>
          <w:tcPr/>
          <w:p>
            <w:pPr>
              <w:pStyle w:val="Compact"/>
            </w:pPr>
            <m:oMath>
              <m:r>
                <m:t>2</m:t>
              </m:r>
              <m:r>
                <m:rPr>
                  <m:sty m:val="p"/>
                </m:rPr>
                <m:t>%</m:t>
              </m:r>
              <m:d>
                <m:dPr>
                  <m:begChr m:val="|"/>
                  <m:sepChr m:val=""/>
                  <m:endChr m:val="|"/>
                  <m:grow/>
                </m:dPr>
                <m:e>
                  <m:r>
                    <m:t>d</m:t>
                  </m:r>
                </m:e>
              </m:d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p</m:t>
                  </m:r>
                  <m:r>
                    <m:t>e</m:t>
                  </m:r>
                  <m:r>
                    <m:t>r</m:t>
                  </m:r>
                  <m:r>
                    <m:t>c</m:t>
                  </m:r>
                  <m:r>
                    <m:t>e</m:t>
                  </m:r>
                  <m:r>
                    <m:t>n</m:t>
                  </m:r>
                  <m:r>
                    <m:t>t</m:t>
                  </m:r>
                  <m:r>
                    <m:t>a</m:t>
                  </m:r>
                  <m:r>
                    <m:t>g</m:t>
                  </m:r>
                  <m:r>
                    <m:t>e</m:t>
                  </m:r>
                </m:e>
              </m:d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×</m:t>
              </m:r>
              <m:sSup>
                <m:e>
                  <m:r>
                    <m:t>10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sup>
              </m:sSup>
              <m:r>
                <m:t>V</m:t>
              </m:r>
            </m:oMath>
            <w:r>
              <w:t xml:space="preserve"> </w:t>
            </w:r>
            <w:r>
              <w:t xml:space="preserve">(floor)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Mesh Size</w:t>
            </w:r>
          </w:p>
        </w:tc>
        <w:tc>
          <w:tcPr/>
          <w:p>
            <w:pPr>
              <w:pStyle w:val="Compact"/>
            </w:pPr>
            <m:oMath>
              <m:r>
                <m:t>10</m:t>
              </m:r>
              <m:r>
                <m:rPr>
                  <m:sty m:val="p"/>
                </m:rPr>
                <m:t>×</m:t>
              </m:r>
              <m:r>
                <m:t>10</m:t>
              </m:r>
              <m:r>
                <m:rPr>
                  <m:sty m:val="p"/>
                </m:rPr>
                <m:t>×</m:t>
              </m:r>
              <m:r>
                <m:t>10</m:t>
              </m:r>
            </m:oMath>
            <w:r>
              <w:t xml:space="preserve"> </w:t>
            </w:r>
            <w:r>
              <w:t xml:space="preserve">meters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Reference conductivity</w:t>
            </w:r>
          </w:p>
        </w:tc>
        <w:tc>
          <w:tcPr/>
          <w:p>
            <w:pPr>
              <w:pStyle w:val="Compact"/>
            </w:pPr>
            <m:oMath>
              <m:r>
                <m:t>0.01</m:t>
              </m:r>
            </m:oMath>
            <w:r>
              <w:t xml:space="preserve"> </w:t>
            </w:r>
            <w:r>
              <w:t xml:space="preserve">S/m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Regularization Scales (</w:t>
            </w:r>
            <w:r>
              <w:t xml:space="preserve"> </w:t>
            </w:r>
            <m:oMath>
              <m:sSub>
                <m:e>
                  <m:r>
                    <m:t>α</m:t>
                  </m:r>
                </m:e>
                <m:sub>
                  <m:r>
                    <m:t>s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α</m:t>
                  </m:r>
                </m:e>
                <m:sub>
                  <m:r>
                    <m:t>x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α</m:t>
                  </m:r>
                </m:e>
                <m:sub>
                  <m:r>
                    <m:t>y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α</m:t>
                  </m:r>
                </m:e>
                <m:sub>
                  <m:r>
                    <m:t>z</m:t>
                  </m:r>
                </m:sub>
              </m:sSub>
            </m:oMath>
            <w:r>
              <w:t xml:space="preserve"> </w:t>
            </w:r>
            <w:r>
              <w:t xml:space="preserve">)</w:t>
            </w:r>
          </w:p>
        </w:tc>
        <w:tc>
          <w:tcPr/>
          <w:p>
            <w:pPr>
              <w:pStyle w:val="Compact"/>
            </w:pPr>
            <m:oMath>
              <m:r>
                <m:t>0.01</m:t>
              </m:r>
              <m:r>
                <m:rPr>
                  <m:sty m:val="p"/>
                </m:rPr>
                <m:t>,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1</m:t>
              </m:r>
            </m:oMath>
          </w:p>
        </w:tc>
      </w:tr>
    </w:tbl>
    <w:p>
      <w:pPr>
        <w:pStyle w:val="BodyText"/>
      </w:pPr>
      <w:r>
        <w:rPr>
          <w:rStyle w:val="VerbatimChar"/>
        </w:rPr>
        <w:t xml:space="preserve">DCR_TwoSpheres_Simple</w:t>
      </w:r>
      <w:r>
        <w:t xml:space="preserve"> </w:t>
      </w:r>
      <w:r>
        <w:t xml:space="preserve">(c) presents the recovered 2D conductivity model after convergence of the</w:t>
      </w:r>
      <w:r>
        <w:t xml:space="preserve"> </w:t>
      </w:r>
      <w:r>
        <w:t xml:space="preserve">algorithm.</w:t>
      </w:r>
    </w:p>
    <w:p>
      <w:pPr>
        <w:pStyle w:val="BodyText"/>
      </w:pPr>
      <w:r>
        <w:rPr>
          <w:b/>
          <w:bCs/>
        </w:rPr>
        <w:t xml:space="preserve">Important comments:</w:t>
      </w:r>
    </w:p>
    <w:p>
      <w:pPr>
        <w:pStyle w:val="Compact"/>
        <w:numPr>
          <w:ilvl w:val="0"/>
          <w:numId w:val="1001"/>
        </w:numPr>
      </w:pPr>
      <w:r>
        <w:t xml:space="preserve">Even though there are no contaminating near-surface blocks the pseudosection</w:t>
      </w:r>
      <w:r>
        <w:t xml:space="preserve"> </w:t>
      </w:r>
      <w:r>
        <w:t xml:space="preserve">does not clearly indicate two bodies. This is in contrast to</w:t>
      </w:r>
      <w:r>
        <w:t xml:space="preserve"> </w:t>
      </w:r>
      <w:r>
        <w:rPr>
          <w:rStyle w:val="VerbatimChar"/>
        </w:rPr>
        <w:t xml:space="preserve">DCR_DpDp_Simple</w:t>
      </w:r>
      <w:r>
        <w:t xml:space="preserve"> </w:t>
      </w:r>
      <w:r>
        <w:t xml:space="preserve">(a) where a single prism was clearly identified in</w:t>
      </w:r>
      <w:r>
        <w:t xml:space="preserve"> </w:t>
      </w:r>
      <w:r>
        <w:t xml:space="preserve">the pseudosection.</w:t>
      </w:r>
    </w:p>
    <w:p>
      <w:pPr>
        <w:pStyle w:val="Compact"/>
        <w:numPr>
          <w:ilvl w:val="0"/>
          <w:numId w:val="1001"/>
        </w:numPr>
      </w:pPr>
      <w:r>
        <w:t xml:space="preserve">The two spheres are recovered but they have lower conductivity contrasts with</w:t>
      </w:r>
      <w:r>
        <w:t xml:space="preserve"> </w:t>
      </w:r>
      <w:r>
        <w:t xml:space="preserve">respect to the halfspace than do the true spheres. This occurs for three</w:t>
      </w:r>
      <w:r>
        <w:t xml:space="preserve"> </w:t>
      </w:r>
      <w:r>
        <w:t xml:space="preserve">reasons: (i) the inversion generates smooth models and this extends structures</w:t>
      </w:r>
      <w:r>
        <w:t xml:space="preserve"> </w:t>
      </w:r>
      <w:r>
        <w:t xml:space="preserve">and reduces amplitudes; (ii) the true spheres extend into regions where there</w:t>
      </w:r>
      <w:r>
        <w:t xml:space="preserve"> </w:t>
      </w:r>
      <w:r>
        <w:t xml:space="preserve">is limited depth of investigation; and (iii) the 2D inversion assumes that the</w:t>
      </w:r>
      <w:r>
        <w:t xml:space="preserve"> </w:t>
      </w:r>
      <w:r>
        <w:t xml:space="preserve">structures are cylindrical.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bookmarkStart w:id="23" w:name="DCR_TwoSpheres_Simple"/>
            <w:r>
              <w:t xml:space="preserve">images/DCR_TwoSpheres_Simple.png</w:t>
            </w:r>
            <w:bookmarkEnd w:id="23"/>
          </w:p>
        </w:tc>
      </w:tr>
    </w:tbl>
    <w:p>
      <w:pPr>
        <w:pStyle w:val="ImageCaption"/>
      </w:pPr>
      <w:r>
        <w:t xml:space="preserve">: (a) Vertical section through a two-sphere model (</w:t>
      </w:r>
      <m:oMath>
        <m:sSub>
          <m:e>
            <m:r>
              <m:t>ρ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10</m:t>
        </m:r>
        <m:r>
          <m:t> </m:t>
        </m:r>
        <m:r>
          <m:t>Ω</m:t>
        </m:r>
        <m:r>
          <m:rPr>
            <m:sty m:val="p"/>
          </m:rPr>
          <m:t>⋅</m:t>
        </m:r>
        <m:r>
          <m:t>m</m:t>
        </m:r>
      </m:oMath>
      <w:r>
        <w:t xml:space="preserve"> </w:t>
      </w:r>
      <w:r>
        <w:t xml:space="preserve">;</w:t>
      </w:r>
      <w:r>
        <w:t xml:space="preserve"> </w:t>
      </w:r>
      <m:oMath>
        <m:sSub>
          <m:e>
            <m:r>
              <m:t>ρ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1000</m:t>
        </m:r>
        <m:r>
          <m:t> </m:t>
        </m:r>
        <m:r>
          <m:t>Ω</m:t>
        </m:r>
        <m:r>
          <m:rPr>
            <m:sty m:val="p"/>
          </m:rPr>
          <m:t>⋅</m:t>
        </m:r>
        <m:r>
          <m:t>m</m:t>
        </m:r>
      </m:oMath>
      <w:r>
        <w:t xml:space="preserve">) buried in a homogeneous halfspace (</w:t>
      </w:r>
      <m:oMath>
        <m:sSub>
          <m:e>
            <m:r>
              <m:t>ρ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100</m:t>
        </m:r>
        <m:r>
          <m:t> </m:t>
        </m:r>
        <m:r>
          <m:t>Ω</m:t>
        </m:r>
        <m:r>
          <m:rPr>
            <m:sty m:val="p"/>
          </m:rPr>
          <m:t>⋅</m:t>
        </m:r>
        <m:r>
          <m:t>m</m:t>
        </m:r>
      </m:oMath>
      <w:r>
        <w:t xml:space="preserve">).</w:t>
      </w:r>
      <w:r>
        <w:t xml:space="preserve"> </w:t>
      </w:r>
      <w:r>
        <w:t xml:space="preserve">(b) Corresponding pseudosection of apparent conductivity acquired from a dipole-dipole survey layout, 20 meter dipole spacing.</w:t>
      </w:r>
      <w:r>
        <w:t xml:space="preserve"> </w:t>
      </w:r>
      <w:r>
        <w:t xml:space="preserve">(c) Recovered conductivity model from a 2D inversion.</w:t>
      </w:r>
      <w:r>
        <w:t xml:space="preserve"> </w:t>
      </w:r>
      <w:r>
        <w:t xml:space="preserve">(d) Two sphere model with near-surface inhomogeneities.</w:t>
      </w:r>
      <w:r>
        <w:t xml:space="preserve"> </w:t>
      </w:r>
      <w:r>
        <w:t xml:space="preserve">(e) pseudosection</w:t>
      </w:r>
      <w:r>
        <w:t xml:space="preserve"> </w:t>
      </w:r>
      <w:r>
        <w:t xml:space="preserve">(f) Recovered model from 2D inversion.</w:t>
      </w:r>
    </w:p>
    <w:p>
      <w:pPr>
        <w:pStyle w:val="BodyText"/>
      </w:pPr>
      <w:r>
        <w:t xml:space="preserve">Similar to the prism model example (</w:t>
      </w:r>
      <w:r>
        <w:rPr>
          <w:rStyle w:val="VerbatimChar"/>
        </w:rPr>
        <w:t xml:space="preserve">DCR_DpDp_Simple</w:t>
      </w:r>
      <w:r>
        <w:t xml:space="preserve">), we repeat the</w:t>
      </w:r>
      <w:r>
        <w:t xml:space="preserve"> </w:t>
      </w:r>
      <w:r>
        <w:t xml:space="preserve">experiment with the same survey setup but use a more complicated resistivity</w:t>
      </w:r>
      <w:r>
        <w:t xml:space="preserve"> </w:t>
      </w:r>
      <w:r>
        <w:t xml:space="preserve">model that has near-surface inhomogeneities (</w:t>
      </w:r>
      <w:r>
        <w:rPr>
          <w:rStyle w:val="VerbatimChar"/>
        </w:rPr>
        <w:t xml:space="preserve">DCR_TwoSpheres_Simple</w:t>
      </w:r>
      <w:r>
        <w:t xml:space="preserve"> </w:t>
      </w:r>
      <w:r>
        <w:t xml:space="preserve">(d)). The resulting pseudosection (</w:t>
      </w:r>
      <w:r>
        <w:rPr>
          <w:rStyle w:val="VerbatimChar"/>
        </w:rPr>
        <w:t xml:space="preserve">DCR_TwoSpheres_Simple</w:t>
      </w:r>
      <w:r>
        <w:t xml:space="preserve"> </w:t>
      </w:r>
      <w:r>
        <w:t xml:space="preserve">(e)) is</w:t>
      </w:r>
      <w:r>
        <w:t xml:space="preserve"> </w:t>
      </w:r>
      <w:r>
        <w:t xml:space="preserve">challenging to interpret visually. The 2D resistivity model recovered from the</w:t>
      </w:r>
      <w:r>
        <w:t xml:space="preserve"> </w:t>
      </w:r>
      <w:r>
        <w:t xml:space="preserve">inversion (</w:t>
      </w:r>
      <w:r>
        <w:t xml:space="preserve"> </w:t>
      </w:r>
      <w:r>
        <w:rPr>
          <w:rStyle w:val="VerbatimChar"/>
        </w:rPr>
        <w:t xml:space="preserve">DCR_TwoSpheres_Simple</w:t>
      </w:r>
      <w:r>
        <w:t xml:space="preserve"> </w:t>
      </w:r>
      <w:r>
        <w:t xml:space="preserve">(f)) unravels the data complexity.</w:t>
      </w:r>
    </w:p>
    <w:p>
      <w:pPr>
        <w:pStyle w:val="BodyText"/>
      </w:pPr>
      <w:r>
        <w:rPr>
          <w:b/>
          <w:bCs/>
        </w:rPr>
        <w:t xml:space="preserve">Important comments:</w:t>
      </w:r>
    </w:p>
    <w:p>
      <w:pPr>
        <w:pStyle w:val="Compact"/>
        <w:numPr>
          <w:ilvl w:val="0"/>
          <w:numId w:val="1002"/>
        </w:numPr>
      </w:pPr>
      <w:r>
        <w:t xml:space="preserve">The pseudosection of data is complicated and dominated by the near-surface conductors.</w:t>
      </w:r>
    </w:p>
    <w:p>
      <w:pPr>
        <w:pStyle w:val="Compact"/>
        <w:numPr>
          <w:ilvl w:val="0"/>
          <w:numId w:val="1002"/>
        </w:numPr>
      </w:pPr>
      <w:r>
        <w:t xml:space="preserve">The inversion recovers the contaminating surface conductors. It also recovers</w:t>
      </w:r>
      <w:r>
        <w:t xml:space="preserve"> </w:t>
      </w:r>
      <w:r>
        <w:t xml:space="preserve">the two spheres with about the same fidelity as in the simple case.</w:t>
      </w:r>
    </w:p>
    <w:p>
      <w:pPr>
        <w:pStyle w:val="FirstParagraph"/>
      </w:pPr>
      <w:r>
        <w:t xml:space="preserve">This example can be downloaded</w:t>
      </w:r>
      <w:r>
        <w:t xml:space="preserve"> </w:t>
      </w:r>
      <w:r>
        <w:rPr>
          <w:rStyle w:val="VerbatimChar"/>
        </w:rPr>
        <w:t xml:space="preserve">here&lt;dcr_synthetics&gt;</w:t>
      </w:r>
      <w:r>
        <w:t xml:space="preserve">.</w:t>
      </w:r>
    </w:p>
    <w:bookmarkEnd w:id="24"/>
    <w:bookmarkStart w:id="32" w:name="depth_of_investigation"/>
    <w:p>
      <w:pPr>
        <w:pStyle w:val="Heading1"/>
      </w:pPr>
      <w:r>
        <w:t xml:space="preserve">Depth of Investigation</w:t>
      </w:r>
    </w:p>
    <w:p>
      <w:pPr>
        <w:pStyle w:val="FirstParagraph"/>
      </w:pPr>
      <w:r>
        <w:t xml:space="preserve">The inverse problem</w:t>
      </w:r>
      <w:r>
        <w:t xml:space="preserve"> </w:t>
      </w:r>
      <w:r>
        <w:t xml:space="preserve">is nonunique and the DCR data are sensitive to conductivity only in a</w:t>
      </w:r>
      <w:r>
        <w:t xml:space="preserve"> </w:t>
      </w:r>
      <w:r>
        <w:t xml:space="preserve">region in the vicinity of the electrode array. Conductivity structures that</w:t>
      </w:r>
      <w:r>
        <w:t xml:space="preserve"> </w:t>
      </w:r>
      <w:r>
        <w:t xml:space="preserve">exist outside this region are unreliable and likely artifacts of</w:t>
      </w:r>
      <w:r>
        <w:t xml:space="preserve"> </w:t>
      </w:r>
      <w:r>
        <w:t xml:space="preserve">the inversion. There are several methods</w:t>
      </w:r>
      <w:r>
        <w:t xml:space="preserve"> </w:t>
      </w:r>
      <w:r>
        <w:t xml:space="preserve">proposed in the literature to quantify this limits of this region for</w:t>
      </w:r>
      <w:r>
        <w:t xml:space="preserve"> </w:t>
      </w:r>
      <w:r>
        <w:t xml:space="preserve">a specific DCR survey. The following example uses the Depth of Investigation (DOI) method</w:t>
      </w:r>
      <w:r>
        <w:t xml:space="preserve"> </w:t>
      </w:r>
      <w:r>
        <w:t xml:space="preserve">proposed by</w:t>
      </w:r>
      <w:r>
        <w:t xml:space="preserve"> </w:t>
      </w:r>
      <w:r>
        <w:t xml:space="preserve">LiDWO1999</w:t>
      </w:r>
      <w:r>
        <w:t xml:space="preserve">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bookmarkStart w:id="25" w:name="DCR_TwoSpheres_DOI"/>
            <w:r>
              <w:t xml:space="preserve">images/DCR_TwoSpheres_DOI.png</w:t>
            </w:r>
            <w:bookmarkEnd w:id="25"/>
          </w:p>
        </w:tc>
      </w:tr>
    </w:tbl>
    <w:p>
      <w:pPr>
        <w:pStyle w:val="ImageCaption"/>
      </w:pPr>
      <w:r>
        <w:t xml:space="preserve">: (a) Resistivity model obtained using a different reference halfspace (</w:t>
      </w:r>
      <m:oMath>
        <m:r>
          <m:t>ρ</m:t>
        </m:r>
        <m:r>
          <m:rPr>
            <m:sty m:val="p"/>
          </m:rPr>
          <m:t>=</m:t>
        </m:r>
        <m:r>
          <m:t>10</m:t>
        </m:r>
        <m:r>
          <m:t> </m:t>
        </m:r>
        <m:r>
          <m:t>Ω</m:t>
        </m:r>
        <m:r>
          <m:rPr>
            <m:sty m:val="p"/>
          </m:rPr>
          <m:t>⋅</m:t>
        </m:r>
        <m:r>
          <m:t>m</m:t>
        </m:r>
      </m:oMath>
      <w:r>
        <w:t xml:space="preserve">) and</w:t>
      </w:r>
      <w:r>
        <w:t xml:space="preserve"> </w:t>
      </w:r>
      <w:r>
        <w:t xml:space="preserve">(b) the calculated DOI index.</w:t>
      </w:r>
      <w:r>
        <w:t xml:space="preserve"> </w:t>
      </w:r>
      <w:r>
        <w:t xml:space="preserve">(c) Preferred resistivity model presented in</w:t>
      </w:r>
      <w:r>
        <w:t xml:space="preserve"> </w:t>
      </w:r>
      <w:r>
        <w:rPr>
          <w:rStyle w:val="VerbatimChar"/>
        </w:rPr>
        <w:t xml:space="preserve">DCR_TwoSpheres_Simple</w:t>
      </w:r>
      <w:r>
        <w:t xml:space="preserve"> </w:t>
      </w:r>
      <w:r>
        <w:t xml:space="preserve">(c) after applying the DOI mask.</w:t>
      </w:r>
    </w:p>
    <w:p>
      <w:pPr>
        <w:pStyle w:val="BodyText"/>
      </w:pPr>
      <w:r>
        <w:t xml:space="preserve">In its simplest form, the DOI analysis requires the data to be inverted twice</w:t>
      </w:r>
      <w:r>
        <w:t xml:space="preserve"> </w:t>
      </w:r>
      <w:r>
        <w:t xml:space="preserve">with all parameters the same except for the background</w:t>
      </w:r>
      <w:r>
        <w:t xml:space="preserve"> </w:t>
      </w:r>
      <w:r>
        <w:t xml:space="preserve">conductivity. For the two-sphere example shown in</w:t>
      </w:r>
      <w:r>
        <w:t xml:space="preserve"> </w:t>
      </w:r>
      <w:r>
        <w:rPr>
          <w:rStyle w:val="VerbatimChar"/>
        </w:rPr>
        <w:t xml:space="preserve">DCR_TwoSpheres_Simple</w:t>
      </w:r>
      <w:r>
        <w:t xml:space="preserve"> </w:t>
      </w:r>
      <w:r>
        <w:t xml:space="preserve">(c), the synthetic data is inverted a second</w:t>
      </w:r>
      <w:r>
        <w:t xml:space="preserve"> </w:t>
      </w:r>
      <w:r>
        <w:t xml:space="preserve">time with a reference halfspace conductivity of</w:t>
      </w:r>
      <w:r>
        <w:t xml:space="preserve"> </w:t>
      </w:r>
      <m:oMath>
        <m:r>
          <m:t>10</m:t>
        </m:r>
        <m:r>
          <m:t> </m:t>
        </m:r>
        <m:r>
          <m:t>Ω</m:t>
        </m:r>
        <m:r>
          <m:rPr>
            <m:sty m:val="p"/>
          </m:rPr>
          <m:t>⋅</m:t>
        </m:r>
        <m:r>
          <m:t>m</m:t>
        </m:r>
      </m:oMath>
      <w:r>
        <w:t xml:space="preserve">.</w:t>
      </w:r>
      <w:r>
        <w:t xml:space="preserve"> </w:t>
      </w:r>
      <w:r>
        <w:rPr>
          <w:rStyle w:val="VerbatimChar"/>
        </w:rPr>
        <w:t xml:space="preserve">DCR_TwoSpheres_DOI</w:t>
      </w:r>
      <w:r>
        <w:t xml:space="preserve"> </w:t>
      </w:r>
      <w:r>
        <w:t xml:space="preserve">(a) shows the recovered 2D resistivity model.</w:t>
      </w:r>
      <w:r>
        <w:t xml:space="preserve"> </w:t>
      </w:r>
      <w:r>
        <w:t xml:space="preserve">Note that the region away from</w:t>
      </w:r>
      <w:r>
        <w:t xml:space="preserve"> </w:t>
      </w:r>
      <w:r>
        <w:t xml:space="preserve">the electrode locations returns to a value close to the</w:t>
      </w:r>
      <w:r>
        <w:t xml:space="preserve"> </w:t>
      </w:r>
      <w:r>
        <w:t xml:space="preserve">reference model.</w:t>
      </w:r>
    </w:p>
    <w:p>
      <w:pPr>
        <w:pStyle w:val="BodyText"/>
      </w:pPr>
      <w:r>
        <w:t xml:space="preserve">We now have a discretized volume of the Earth and two conductivity models that</w:t>
      </w:r>
      <w:r>
        <w:t xml:space="preserve"> </w:t>
      </w:r>
      <w:r>
        <w:t xml:space="preserve">can equally reproduced the observed data. Let</w:t>
      </w:r>
      <w:r>
        <w:t xml:space="preserve"> </w:t>
      </w:r>
      <m:oMath>
        <m:sSub>
          <m:e>
            <m:r>
              <m:t>σ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σ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be</w:t>
      </w:r>
      <w:r>
        <w:t xml:space="preserve"> </w:t>
      </w:r>
      <w:r>
        <w:t xml:space="preserve">the conductivity values recovered at some location (</w:t>
      </w:r>
      <w:r>
        <w:rPr>
          <w:i/>
          <w:iCs/>
        </w:rPr>
        <w:t xml:space="preserve">x,z</w:t>
      </w:r>
      <w:r>
        <w:t xml:space="preserve">), a DOI index is calculated as: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O</m:t>
          </m:r>
          <m:r>
            <m:t>I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r>
            <m:rPr>
              <m:sty m:val="p"/>
            </m:rPr>
            <m:t>|</m:t>
          </m:r>
          <m:f>
            <m:fPr>
              <m:type m:val="bar"/>
            </m:fPr>
            <m:num>
              <m:sSub>
                <m:e>
                  <m:r>
                    <m:t>σ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y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t>σ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y</m:t>
                  </m:r>
                </m:e>
              </m:d>
            </m:num>
            <m:den>
              <m:sSubSup>
                <m:e>
                  <m:r>
                    <m:t>σ</m:t>
                  </m:r>
                </m:e>
                <m:sub>
                  <m:r>
                    <m:t>1</m:t>
                  </m:r>
                </m:sub>
                <m:sup>
                  <m:r>
                    <m:t>r</m:t>
                  </m:r>
                  <m:r>
                    <m:t>e</m:t>
                  </m:r>
                  <m:r>
                    <m:t>f</m:t>
                  </m:r>
                </m:sup>
              </m:sSubSup>
              <m:r>
                <m:rPr>
                  <m:sty m:val="p"/>
                </m:rPr>
                <m:t>−</m:t>
              </m:r>
              <m:sSubSup>
                <m:e>
                  <m:r>
                    <m:t>σ</m:t>
                  </m:r>
                </m:e>
                <m:sub>
                  <m:r>
                    <m:t>2</m:t>
                  </m:r>
                </m:sub>
                <m:sup>
                  <m:r>
                    <m:t>r</m:t>
                  </m:r>
                  <m:r>
                    <m:t>e</m:t>
                  </m:r>
                  <m:r>
                    <m:t>f</m:t>
                  </m:r>
                </m:sup>
              </m:sSubSup>
            </m:den>
          </m:f>
          <m:r>
            <m:rPr>
              <m:sty m:val="p"/>
            </m:rPr>
            <m:t>|</m:t>
          </m:r>
          <m:r>
            <m:t> 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 the DOI index will approach 1 for similar model values obtained with</w:t>
      </w:r>
      <w:r>
        <w:t xml:space="preserve"> </w:t>
      </w:r>
      <w:r>
        <w:t xml:space="preserve">both inversions regardless of the chosen reference models</w:t>
      </w:r>
      <w:r>
        <w:t xml:space="preserve"> </w:t>
      </w:r>
      <m:oMath>
        <m:sSubSup>
          <m:e>
            <m:r>
              <m:t>σ</m:t>
            </m:r>
          </m:e>
          <m:sub>
            <m:r>
              <m:t>1</m:t>
            </m:r>
          </m:sub>
          <m:sup>
            <m:r>
              <m:t>r</m:t>
            </m:r>
            <m:r>
              <m:t>e</m:t>
            </m:r>
            <m:r>
              <m:t>f</m:t>
            </m:r>
          </m:sup>
        </m:sSubSup>
        <m:r>
          <m:rPr>
            <m:sty m:val="p"/>
          </m:rPr>
          <m:t>,</m:t>
        </m:r>
        <m:sSubSup>
          <m:e>
            <m:r>
              <m:t>σ</m:t>
            </m:r>
          </m:e>
          <m:sub>
            <m:r>
              <m:t>2</m:t>
            </m:r>
          </m:sub>
          <m:sup>
            <m:r>
              <m:t>r</m:t>
            </m:r>
            <m:r>
              <m:t>e</m:t>
            </m:r>
            <m:r>
              <m:t>f</m:t>
            </m:r>
          </m:sup>
        </m:sSubSup>
      </m:oMath>
      <w:r>
        <w:t xml:space="preserve">. Conversely, the DOI will approach 0</w:t>
      </w:r>
      <w:r>
        <w:t xml:space="preserve"> </w:t>
      </w:r>
      <w:r>
        <w:t xml:space="preserve">where the recovered models return to their respective reference conductivities.</w:t>
      </w:r>
      <w:r>
        <w:t xml:space="preserve"> </w:t>
      </w:r>
      <w:r>
        <w:rPr>
          <w:rStyle w:val="VerbatimChar"/>
        </w:rPr>
        <w:t xml:space="preserve">DCR_TwoSpheres_DOI</w:t>
      </w:r>
      <w:r>
        <w:t xml:space="preserve"> </w:t>
      </w:r>
      <w:r>
        <w:t xml:space="preserve">(b) presents the calculated DOI index for the two-sphere problem, showing a lower confidence over the bottom half of the domain.</w:t>
      </w:r>
      <w:r>
        <w:t xml:space="preserve"> </w:t>
      </w:r>
      <w:r>
        <w:t xml:space="preserve">The DOI mask is applied to our preferred 2D model, presented in</w:t>
      </w:r>
      <w:r>
        <w:t xml:space="preserve"> </w:t>
      </w:r>
      <w:r>
        <w:rPr>
          <w:rStyle w:val="VerbatimChar"/>
        </w:rPr>
        <w:t xml:space="preserve">DCR_TwoSpheres_DOI</w:t>
      </w:r>
      <w:r>
        <w:t xml:space="preserve"> </w:t>
      </w:r>
      <w:r>
        <w:t xml:space="preserve">(c), with transparency applied proportionally to the DOI index.</w:t>
      </w:r>
    </w:p>
    <w:bookmarkStart w:id="30" w:name="dcr_synthetics"/>
    <w:p>
      <w:pPr>
        <w:pStyle w:val="Heading2"/>
      </w:pPr>
      <w:r>
        <w:t xml:space="preserve">Downloads</w:t>
      </w:r>
    </w:p>
    <w:p>
      <w:pPr>
        <w:pStyle w:val="FirstParagraph"/>
      </w:pPr>
      <w:r>
        <w:t xml:space="preserve">Data, model and inversion files used in this page can be downloaded below:</w:t>
      </w:r>
    </w:p>
    <w:p>
      <w:pPr>
        <w:pStyle w:val="BlockText"/>
      </w:pPr>
      <w:hyperlink r:id="rId26">
        <w:r>
          <w:rPr>
            <w:rStyle w:val="Hyperlink"/>
          </w:rPr>
          <w:t xml:space="preserve">Prism</w:t>
        </w:r>
      </w:hyperlink>
    </w:p>
    <w:p>
      <w:pPr>
        <w:pStyle w:val="BlockText"/>
      </w:pPr>
      <w:hyperlink r:id="rId27">
        <w:r>
          <w:rPr>
            <w:rStyle w:val="Hyperlink"/>
          </w:rPr>
          <w:t xml:space="preserve">Two_Spheres</w:t>
        </w:r>
      </w:hyperlink>
    </w:p>
    <w:p>
      <w:pPr>
        <w:pStyle w:val="FirstParagraph"/>
      </w:pPr>
      <w:r>
        <w:t xml:space="preserve">Utilities: UBC-DC2D</w:t>
      </w:r>
      <w:r>
        <w:t xml:space="preserve"> </w:t>
      </w:r>
      <w:hyperlink r:id="rId28">
        <w:r>
          <w:rPr>
            <w:rStyle w:val="Hyperlink"/>
          </w:rPr>
          <w:t xml:space="preserve">data viewer</w:t>
        </w:r>
      </w:hyperlink>
      <w:r>
        <w:t xml:space="preserve"> </w:t>
      </w:r>
      <w:r>
        <w:t xml:space="preserve">and</w:t>
      </w:r>
      <w:r>
        <w:t xml:space="preserve"> </w:t>
      </w:r>
      <w:hyperlink r:id="rId29">
        <w:r>
          <w:rPr>
            <w:rStyle w:val="Hyperlink"/>
          </w:rPr>
          <w:t xml:space="preserve">model viewer</w:t>
        </w:r>
      </w:hyperlink>
    </w:p>
    <w:bookmarkEnd w:id="30"/>
    <w:bookmarkStart w:id="3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Oldenburg, Douglas W., and Yaoguo Li. "Estimating depth of investigation in DC resistivity and IP surveys." Geophysics 64.2 (1999): 403-416.</w:t>
      </w:r>
    </w:p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://gif.eos.ubc.ca/sites/default/files/dcip2d-data-viewer.zip" TargetMode="External" /><Relationship Type="http://schemas.openxmlformats.org/officeDocument/2006/relationships/hyperlink" Id="rId29" Target="http://gif.eos.ubc.ca/sites/default/files/dcip2d-model-viewer.zip" TargetMode="External" /><Relationship Type="http://schemas.openxmlformats.org/officeDocument/2006/relationships/hyperlink" Id="rId26" Target="https://storage.googleapis.com/simpeg/em_geosci/DCR_Interp_Prism.zip" TargetMode="External" /><Relationship Type="http://schemas.openxmlformats.org/officeDocument/2006/relationships/hyperlink" Id="rId27" Target="https://storage.googleapis.com/simpeg/em_geosci/DCR_Interp_TwoSpheres.z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://gif.eos.ubc.ca/sites/default/files/dcip2d-data-viewer.zip" TargetMode="External" /><Relationship Type="http://schemas.openxmlformats.org/officeDocument/2006/relationships/hyperlink" Id="rId29" Target="http://gif.eos.ubc.ca/sites/default/files/dcip2d-model-viewer.zip" TargetMode="External" /><Relationship Type="http://schemas.openxmlformats.org/officeDocument/2006/relationships/hyperlink" Id="rId26" Target="https://storage.googleapis.com/simpeg/em_geosci/DCR_Interp_Prism.zip" TargetMode="External" /><Relationship Type="http://schemas.openxmlformats.org/officeDocument/2006/relationships/hyperlink" Id="rId27" Target="https://storage.googleapis.com/simpeg/em_geosci/DCR_Interp_TwoSpheres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Interpretation</dc:title>
  <dc:creator/>
  <cp:keywords/>
  <dcterms:created xsi:type="dcterms:W3CDTF">2025-01-16T09:28:51Z</dcterms:created>
  <dcterms:modified xsi:type="dcterms:W3CDTF">2025-01-16T09:28:51Z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