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</w:p>
    <w:p>
      <w:pPr>
        <w:pStyle w:val="FirstParagraph"/>
      </w:pPr>
      <w:r>
        <w:t xml:space="preserve">So far, we have used radargrams to represent the data collected by GPR sensors.</w:t>
      </w:r>
      <w:r>
        <w:t xml:space="preserve"> </w:t>
      </w:r>
      <w:r>
        <w:t xml:space="preserve">In order to create these images, some processing is required.</w:t>
      </w:r>
      <w:r>
        <w:t xml:space="preserve"> </w:t>
      </w:r>
      <w:r>
        <w:t xml:space="preserve">Here, we discuss how raw GPR data are processed before they are represented using radargrams.</w:t>
      </w:r>
    </w:p>
    <w:bookmarkStart w:id="20" w:name="travel-time-to-depth-conversion"/>
    <w:p>
      <w:pPr>
        <w:pStyle w:val="Heading1"/>
      </w:pPr>
      <w:r>
        <w:t xml:space="preserve">Travel Time to Depth Conversion</w:t>
      </w:r>
    </w:p>
    <w:p>
      <w:pPr>
        <w:pStyle w:val="FirstParagraph"/>
      </w:pPr>
      <w:r>
        <w:t xml:space="preserve">The data measured by the GPR system is the amplitude of the signal as a function of its two-way travel time.</w:t>
      </w:r>
      <w:r>
        <w:t xml:space="preserve"> </w:t>
      </w:r>
      <w:r>
        <w:t xml:space="preserve">However, interpretation can be made easier if the information can be represented in terms of depth.</w:t>
      </w:r>
      <w:r>
        <w:t xml:space="preserve"> </w:t>
      </w:r>
      <w:r>
        <w:t xml:space="preserve">Because of this, an apparent depth axis is frequently added to the right-hand side of the radargram.</w:t>
      </w:r>
    </w:p>
    <w:p>
      <w:pPr>
        <w:pStyle w:val="BodyText"/>
      </w:pPr>
      <w:r>
        <w:t xml:space="preserve">To convert the two-way travel time to apparent depth, we must choose a propagation velocity.</w:t>
      </w:r>
      <w:r>
        <w:t xml:space="preserve"> </w:t>
      </w:r>
      <w:r>
        <w:t xml:space="preserve">This may be acquired from the initial radargram, from a-priori information, or sometimes left as the speed of light (</w:t>
      </w:r>
      <m:oMath>
        <m:r>
          <m:t>c</m:t>
        </m:r>
        <m:r>
          <m:rPr>
            <m:sty m:val="p"/>
          </m:rPr>
          <m:t>=</m:t>
        </m:r>
        <m:r>
          <m:t>3.00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m/s).</w:t>
      </w:r>
      <w:r>
        <w:t xml:space="preserve"> </w:t>
      </w:r>
      <w:r>
        <w:t xml:space="preserve">The conversion between each vertical axis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t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the apparent depth,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propagation velocity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two-way travel time.</w:t>
      </w:r>
      <w:r>
        <w:t xml:space="preserve"> </w:t>
      </w:r>
      <w:r>
        <w:t xml:space="preserve">Below, we see an example where the propagation velocity is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0.13</m:t>
        </m:r>
      </m:oMath>
      <w:r>
        <w:t xml:space="preserve"> </w:t>
      </w:r>
      <w:r>
        <w:t xml:space="preserve">m/ns.</w:t>
      </w:r>
      <w:r>
        <w:t xml:space="preserve"> </w:t>
      </w:r>
      <w:r>
        <w:t xml:space="preserve">From this, we can infer that the linear feature in the radargram is roughly 7-8 m away from the source and receiver.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images_new/GPR_travel_time_2_depth.png</w:t>
            </w:r>
          </w:p>
        </w:tc>
      </w:tr>
    </w:tbl>
    <w:p>
      <w:pPr>
        <w:pStyle w:val="ImageCaption"/>
      </w:pPr>
      <w:r>
        <w:t xml:space="preserve">Example of a radargram with apparent depth on the right axis. This assumes a propagation velocity of 0.13 m/ns.</w:t>
      </w:r>
    </w:p>
    <w:bookmarkEnd w:id="20"/>
    <w:bookmarkStart w:id="21" w:name="gain-correction"/>
    <w:p>
      <w:pPr>
        <w:pStyle w:val="Heading1"/>
      </w:pPr>
      <w:r>
        <w:t xml:space="preserve">Gain Correction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images_new/GPR_gain_time_function.png</w:t>
            </w:r>
          </w:p>
        </w:tc>
      </w:tr>
    </w:tbl>
    <w:p>
      <w:pPr>
        <w:pStyle w:val="ImageCaption"/>
      </w:pPr>
      <w:r>
        <w:t xml:space="preserve">Example gain function which corrects for a loss in signal strength at later times.</w:t>
      </w:r>
    </w:p>
    <w:p>
      <w:pPr>
        <w:pStyle w:val="BodyText"/>
      </w:pPr>
      <w:r>
        <w:t xml:space="preserve">Signals measured at earlier times are much stronger than signals which are measured at later times.</w:t>
      </w:r>
      <w:r>
        <w:t xml:space="preserve"> </w:t>
      </w:r>
      <w:r>
        <w:t xml:space="preserve">This may be due to scattering, attenuation, geometric spreading or reflection/transmission events.</w:t>
      </w:r>
      <w:r>
        <w:t xml:space="preserve"> </w:t>
      </w:r>
      <w:r>
        <w:t xml:space="preserve">As a result, it may not be easy to distinguish important features in the data at later times.</w:t>
      </w:r>
      <w:r>
        <w:t xml:space="preserve"> </w:t>
      </w:r>
      <w:r>
        <w:t xml:space="preserve">To account for this, the raw data</w:t>
      </w:r>
      <w:r>
        <w:t xml:space="preserve"> </w:t>
      </w:r>
      <m:oMath>
        <m:sSub>
          <m:e>
            <m:r>
              <m:t>d</m:t>
            </m:r>
          </m:e>
          <m:sub>
            <m:r>
              <m:t>r</m:t>
            </m:r>
            <m:r>
              <m:t>a</m:t>
            </m:r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for each reading is multiplied by a gain function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×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a</m:t>
              </m:r>
              <m:r>
                <m:t>w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data represented in the radargram.</w:t>
      </w:r>
      <w:r>
        <w:t xml:space="preserve"> </w:t>
      </w:r>
      <w:r>
        <w:t xml:space="preserve">The gain function itself is a positive function which increases in magnitude as a function of time.</w:t>
      </w:r>
      <w:r>
        <w:t xml:space="preserve"> </w:t>
      </w:r>
      <w:r>
        <w:t xml:space="preserve">Thus a larger gain is applied to raw data at later times.</w:t>
      </w:r>
      <w:r>
        <w:t xml:space="preserve"> </w:t>
      </w:r>
      <w:r>
        <w:t xml:space="preserve">An example of the gain function is shown on the right.</w:t>
      </w:r>
      <w:r>
        <w:t xml:space="preserve"> </w:t>
      </w:r>
      <w:r>
        <w:t xml:space="preserve">As we can see, the gain function increases in value exponentially to account for the exponential loss in return signal strength over time.</w:t>
      </w:r>
      <w:r>
        <w:t xml:space="preserve"> </w:t>
      </w:r>
      <w:r>
        <w:t xml:space="preserve">However, the gain function is generally bounded by a maximum value.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images_new/GPR_gain_signal.png</w:t>
            </w:r>
          </w:p>
        </w:tc>
      </w:tr>
    </w:tbl>
    <w:p>
      <w:pPr>
        <w:pStyle w:val="ImageCaption"/>
      </w:pPr>
      <w:r>
        <w:t xml:space="preserve">(Left) Single trace before gain correction. (Right) Single trace after gain correction.</w:t>
      </w:r>
    </w:p>
    <w:p>
      <w:pPr>
        <w:pStyle w:val="BodyText"/>
      </w:pPr>
      <w:r>
        <w:t xml:space="preserve">The strength of returning signals is also much weaker at distances further away from the source.</w:t>
      </w:r>
      <w:r>
        <w:t xml:space="preserve"> </w:t>
      </w:r>
      <w:r>
        <w:t xml:space="preserve">Because of this, gain corrections may be applied based on Tx-Rx distance.</w:t>
      </w:r>
      <w:r>
        <w:t xml:space="preserve"> </w:t>
      </w:r>
      <w:r>
        <w:t xml:space="preserve">This is not necessary for common offset surveys, but may be important in common midpoint or transillumination surveys.</w:t>
      </w:r>
    </w:p>
    <w:bookmarkEnd w:id="21"/>
    <w:bookmarkStart w:id="22" w:name="stacking"/>
    <w:p>
      <w:pPr>
        <w:pStyle w:val="Heading1"/>
      </w:pPr>
      <w:r>
        <w:t xml:space="preserve">Stacking</w:t>
      </w:r>
    </w:p>
    <w:p>
      <w:pPr>
        <w:pStyle w:val="FirstParagraph"/>
      </w:pPr>
      <w:r>
        <w:t xml:space="preserve">GPR signals travel at velocities close to the speed of light (c =</w:t>
      </w:r>
      <w:r>
        <w:t xml:space="preserve"> </w:t>
      </w:r>
      <m:oMath>
        <m:r>
          <m:t>3.00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m/s).</w:t>
      </w:r>
      <w:r>
        <w:t xml:space="preserve"> </w:t>
      </w:r>
      <w:r>
        <w:t xml:space="preserve">As a result, the total travel times for GPR signals are on the order of 100s of nanoseconds.</w:t>
      </w:r>
      <w:r>
        <w:t xml:space="preserve"> </w:t>
      </w:r>
      <w:r>
        <w:t xml:space="preserve">Because of this, it is easy to repeat the same GPR shot many times over a short interval.</w:t>
      </w:r>
    </w:p>
    <w:p>
      <w:pPr>
        <w:pStyle w:val="BodyText"/>
      </w:pPr>
      <w:r>
        <w:t xml:space="preserve">Stacking describes the process of averaging a set of repeated GPR shots in order to reduce noise and improve interpretation.</w:t>
      </w:r>
      <w:r>
        <w:t xml:space="preserve"> </w:t>
      </w:r>
      <w:r>
        <w:t xml:space="preserve">Essentially, stacking acts as a way of improving the signal to noise ratio for GPR data collected at a certain location.</w:t>
      </w:r>
      <w:r>
        <w:t xml:space="preserve"> </w:t>
      </w:r>
      <w:r>
        <w:t xml:space="preserve">An example of this is demonstrated below.</w:t>
      </w:r>
      <w:r>
        <w:t xml:space="preserve"> </w:t>
      </w:r>
      <w:r>
        <w:t xml:space="preserve">As we can see, the more readings we stack, the clearer we see coherent GPR signals.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images_new/GPR_stacking_times.png</w:t>
            </w:r>
          </w:p>
        </w:tc>
      </w:tr>
    </w:tbl>
    <w:p>
      <w:pPr>
        <w:pStyle w:val="ImageCaption"/>
      </w:pPr>
      <w:r>
        <w:t xml:space="preserve">Example of how averaging multiple traces from the same Tx-Rx pair can improve the signal to noise ratio. This results in an improved image of the returning signal.</w:t>
      </w:r>
    </w:p>
    <w:bookmarkEnd w:id="22"/>
    <w:bookmarkStart w:id="23" w:name="smoothing"/>
    <w:p>
      <w:pPr>
        <w:pStyle w:val="Heading1"/>
      </w:pPr>
      <w:r>
        <w:t xml:space="preserve">Smoothing</w:t>
      </w:r>
    </w:p>
    <w:p>
      <w:pPr>
        <w:pStyle w:val="FirstParagraph"/>
      </w:pPr>
      <w:r>
        <w:t xml:space="preserve">Smoothing is another technique used to improve the interpretation of field collected GPR data.</w:t>
      </w:r>
      <w:r>
        <w:t xml:space="preserve"> </w:t>
      </w:r>
      <w:r>
        <w:t xml:space="preserve">In GPR systems, the data sampling rate is such that the returning wavelet signals should be reasonably smooth and visible.</w:t>
      </w:r>
      <w:r>
        <w:t xml:space="preserve"> </w:t>
      </w:r>
      <w:r>
        <w:t xml:space="preserve">Random noise on the other hand is completely incoherent.</w:t>
      </w:r>
      <w:r>
        <w:t xml:space="preserve"> </w:t>
      </w:r>
      <w:r>
        <w:t xml:space="preserve">When smoothing is applied to the data, it has the effect of reducing the amplitude of incoherent noise while retaining naturally smooth signals in the data.</w:t>
      </w:r>
      <w:r>
        <w:t xml:space="preserve"> </w:t>
      </w:r>
      <w:r>
        <w:t xml:space="preserve">One example of smoothing techniques is the moving average (shown below).</w:t>
      </w:r>
      <w:r>
        <w:t xml:space="preserve"> </w:t>
      </w:r>
      <w:r>
        <w:t xml:space="preserve">We can see that as more data points in time are used for the average, the more easily recognizable the wavelet signal is.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images_new/GPR_averaging_times.png</w:t>
            </w:r>
          </w:p>
        </w:tc>
      </w:tr>
    </w:tbl>
    <w:p>
      <w:pPr>
        <w:pStyle w:val="ImageCaption"/>
      </w:pPr>
      <w:r>
        <w:t xml:space="preserve">Example of smoothing a trace by using a moving average.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</dc:title>
  <dc:creator/>
  <cp:keywords/>
  <dcterms:created xsi:type="dcterms:W3CDTF">2025-01-16T09:29:00Z</dcterms:created>
  <dcterms:modified xsi:type="dcterms:W3CDTF">2025-01-16T09:29:00Z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