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 and Data</w:t>
      </w:r>
    </w:p>
    <w:p>
      <w:pPr>
        <w:pStyle w:val="FirstParagraph"/>
      </w:pPr>
      <w:r>
        <w:t xml:space="preserve">Here, we discuss the various survey geometries used in GPR and some of their applications.</w:t>
      </w:r>
      <w:r>
        <w:t xml:space="preserve"> </w:t>
      </w:r>
      <w:r>
        <w:t xml:space="preserve">Information about the GPR source signal and its impact on planning surveys is presented.</w:t>
      </w:r>
      <w:r>
        <w:t xml:space="preserve"> </w:t>
      </w:r>
      <w:r>
        <w:t xml:space="preserve">We also discuss sources of noise which may contaminate GPR data.</w:t>
      </w:r>
    </w:p>
    <w:p>
      <w:pPr>
        <w:pStyle w:val="BodyText"/>
      </w:pPr>
      <w:r>
        <w:t xml:space="preserve">On this page, you will learn about:</w:t>
      </w:r>
    </w:p>
    <w:p>
      <w:pPr>
        <w:pStyle w:val="Compact"/>
        <w:numPr>
          <w:ilvl w:val="0"/>
          <w:numId w:val="1001"/>
        </w:numPr>
      </w:pPr>
      <w:r>
        <w:t xml:space="preserve">Common offset, common midpoint and transillumination surveys.</w:t>
      </w:r>
    </w:p>
    <w:p>
      <w:pPr>
        <w:pStyle w:val="Compact"/>
        <w:numPr>
          <w:ilvl w:val="0"/>
          <w:numId w:val="1001"/>
        </w:numPr>
      </w:pPr>
      <w:r>
        <w:t xml:space="preserve">Where these surveys are most effective.</w:t>
      </w:r>
    </w:p>
    <w:p>
      <w:pPr>
        <w:pStyle w:val="Compact"/>
        <w:numPr>
          <w:ilvl w:val="0"/>
          <w:numId w:val="1001"/>
        </w:numPr>
      </w:pPr>
      <w:r>
        <w:t xml:space="preserve">What is the source signal used in GPR.</w:t>
      </w:r>
    </w:p>
    <w:p>
      <w:pPr>
        <w:pStyle w:val="Compact"/>
        <w:numPr>
          <w:ilvl w:val="0"/>
          <w:numId w:val="1001"/>
        </w:numPr>
      </w:pPr>
      <w:r>
        <w:t xml:space="preserve">The properties of the source signal and how it impacts the effectiveness of GPR surveys.</w:t>
      </w:r>
    </w:p>
    <w:p>
      <w:pPr>
        <w:pStyle w:val="Compact"/>
        <w:numPr>
          <w:ilvl w:val="0"/>
          <w:numId w:val="1001"/>
        </w:numPr>
      </w:pPr>
      <w:r>
        <w:t xml:space="preserve">The resolution of GPR surveys.</w:t>
      </w:r>
    </w:p>
    <w:p>
      <w:pPr>
        <w:pStyle w:val="Compact"/>
        <w:numPr>
          <w:ilvl w:val="0"/>
          <w:numId w:val="1001"/>
        </w:numPr>
      </w:pPr>
      <w:r>
        <w:t xml:space="preserve">The probing distance of GPR surveys.</w:t>
      </w:r>
    </w:p>
    <w:p>
      <w:pPr>
        <w:pStyle w:val="Compact"/>
        <w:numPr>
          <w:ilvl w:val="0"/>
          <w:numId w:val="1001"/>
        </w:numPr>
      </w:pPr>
      <w:r>
        <w:t xml:space="preserve">Sources of noise and their impact on GPR surveys.</w:t>
      </w:r>
    </w:p>
    <w:bookmarkStart w:id="22" w:name="common-offset-survey"/>
    <w:p>
      <w:pPr>
        <w:pStyle w:val="Heading1"/>
      </w:pPr>
      <w:r>
        <w:t xml:space="preserve">Common Offset Survey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images_new/GPR_common_offset.png</w:t>
            </w:r>
          </w:p>
        </w:tc>
      </w:tr>
    </w:tbl>
    <w:p>
      <w:pPr>
        <w:pStyle w:val="ImageCaption"/>
      </w:pPr>
      <w:r>
        <w:t xml:space="preserve">Common offset survey configuration.</w:t>
      </w:r>
    </w:p>
    <w:p>
      <w:pPr>
        <w:pStyle w:val="FirstParagraph"/>
      </w:pPr>
      <w:r>
        <w:t xml:space="preserve">Common offset surveys are the most frequently used configuration for GPR surveys.</w:t>
      </w:r>
      <w:r>
        <w:t xml:space="preserve"> </w:t>
      </w:r>
      <w:r>
        <w:t xml:space="preserve">In common offset survey, the distance between the transmitter and a single receiver is fixed.</w:t>
      </w:r>
      <w:r>
        <w:t xml:space="preserve"> </w:t>
      </w:r>
      <w:r>
        <w:t xml:space="preserve">Data are collected each time the transmitter-receiver pair are moved to a new position.</w:t>
      </w:r>
      <w:r>
        <w:t xml:space="preserve"> </w:t>
      </w:r>
      <w:r>
        <w:t xml:space="preserve">In some cases, the transmitter and receiver are placed at a zero-offset; otherwise known as a coincident source and receiver.</w:t>
      </w:r>
    </w:p>
    <w:p>
      <w:pPr>
        <w:pStyle w:val="BodyText"/>
      </w:pPr>
      <w:r>
        <w:t xml:space="preserve">Common-offset surveys are effective for locating the depths of approximately horizontal interfaces.</w:t>
      </w:r>
      <w:r>
        <w:t xml:space="preserve"> </w:t>
      </w:r>
      <w:r>
        <w:t xml:space="preserve">In addition, zero-offset surveys are very affective a locating pipes, tunnels and compact buried objects; as they generate hyperbolic signatures in radargram data.</w:t>
      </w:r>
      <w:r>
        <w:t xml:space="preserve"> </w:t>
      </w:r>
      <w:r>
        <w:t xml:space="preserve">Examples of this can be seen below.</w:t>
      </w:r>
    </w:p>
    <w:bookmarkStart w:id="20" w:name="buried-compact-objects"/>
    <w:p>
      <w:pPr>
        <w:pStyle w:val="Heading2"/>
      </w:pPr>
      <w:r>
        <w:t xml:space="preserve">Buried Compact Objects</w:t>
      </w:r>
    </w:p>
    <w:p>
      <w:pPr>
        <w:pStyle w:val="FirstParagraph"/>
      </w:pPr>
      <w:r>
        <w:t xml:space="preserve">Below we see the geometry for a zero-offset survey and the corresponding radargram.</w:t>
      </w:r>
      <w:r>
        <w:t xml:space="preserve"> </w:t>
      </w:r>
      <w:r>
        <w:t xml:space="preserve">We will show how the geometry of the problem and the radargram can be used to resolve the locations of pipes and blocky objects.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images_new/GPR_compact_objects.png</w:t>
            </w:r>
          </w:p>
        </w:tc>
      </w:tr>
    </w:tbl>
    <w:p>
      <w:pPr>
        <w:pStyle w:val="ImageCaption"/>
      </w:pPr>
      <w:r>
        <w:t xml:space="preserve">(Left) Problem geometry showing a buried pipe and a block. (Right) Corresponding radargram for the problem geometry.</w:t>
      </w:r>
    </w:p>
    <w:p>
      <w:pPr>
        <w:pStyle w:val="BodyText"/>
      </w:pPr>
      <w:r>
        <w:t xml:space="preserve">In GPR, a</w:t>
      </w:r>
      <w:r>
        <w:t xml:space="preserve"> </w:t>
      </w:r>
      <w:r>
        <w:rPr>
          <w:b/>
          <w:bCs/>
        </w:rPr>
        <w:t xml:space="preserve">thin pipe</w:t>
      </w:r>
      <w:r>
        <w:t xml:space="preserve"> </w:t>
      </w:r>
      <w:r>
        <w:t xml:space="preserve">will act as a point reflector.</w:t>
      </w:r>
      <w:r>
        <w:t xml:space="preserve"> </w:t>
      </w:r>
      <w:r>
        <w:t xml:space="preserve">According to the geometry of the problem, the total travel time of the GPR signal as it reflects off the pipe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propagation velocity (light gray region)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depth to the pipe.</w:t>
      </w:r>
      <w:r>
        <w:t xml:space="preserve"> </w:t>
      </w:r>
      <w:r>
        <w:t xml:space="preserve">As we can see in the radargram, the arrival times for a compact object form a hyperbola.</w:t>
      </w:r>
      <w:r>
        <w:t xml:space="preserve"> </w:t>
      </w:r>
      <w:r>
        <w:t xml:space="preserve">When we are directly above the pipe (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), the total travel time is smallest and equal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d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For the</w:t>
      </w:r>
      <w:r>
        <w:t xml:space="preserve"> </w:t>
      </w:r>
      <w:r>
        <w:rPr>
          <w:b/>
          <w:bCs/>
        </w:rPr>
        <w:t xml:space="preserve">block</w:t>
      </w:r>
      <w:r>
        <w:t xml:space="preserve">, things are a little more complicated.</w:t>
      </w:r>
      <w:r>
        <w:t xml:space="preserve"> </w:t>
      </w:r>
      <w:r>
        <w:t xml:space="preserve">Above the face of the block (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= 6 m to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 16 m), the signal measured by the receiver reflects directly.</w:t>
      </w:r>
      <w:r>
        <w:t xml:space="preserve"> </w:t>
      </w:r>
      <w:r>
        <w:t xml:space="preserve">However, the return signal at locations outside the margins of the block occur on the points.</w:t>
      </w:r>
      <w:r>
        <w:t xml:space="preserve"> </w:t>
      </w:r>
      <w:r>
        <w:t xml:space="preserve">As a result, the total travel time for reflected signals off the block are given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sepChr m:val=""/>
                    <m:end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2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sepChr m:val=""/>
                                          <m:endChr m:val=")"/>
                                          <m:grow/>
                                        </m:dPr>
                                        <m:e>
                                          <m: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m:t>−</m:t>
                                          </m:r>
                                          <m:sSub>
                                            <m:e>
                                              <m: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sSup>
                                    <m:e>
                                      <m:r>
                                        <m:t>h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t>V</m:t>
                              </m:r>
                            </m:den>
                          </m:f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for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&lt;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2</m:t>
                              </m:r>
                              <m:r>
                                <m:t>h</m:t>
                              </m:r>
                            </m:num>
                            <m:den>
                              <m:r>
                                <m:t>V</m:t>
                              </m:r>
                            </m:den>
                          </m:f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for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R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2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sepChr m:val=""/>
                                          <m:endChr m:val=")"/>
                                          <m:grow/>
                                        </m:dPr>
                                        <m:e>
                                          <m: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m:t>−</m:t>
                                          </m:r>
                                          <m:sSub>
                                            <m:e>
                                              <m: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t>R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sSup>
                                    <m:e>
                                      <m:r>
                                        <m:t>h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t>V</m:t>
                              </m:r>
                            </m:den>
                          </m:f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for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&gt;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depth to the top of the block.</w:t>
      </w:r>
      <w:r>
        <w:t xml:space="preserve"> </w:t>
      </w:r>
      <w:r>
        <w:t xml:space="preserve">As we can see from the previous equation, we expect to see a flat feature the block's radargram signature.</w:t>
      </w:r>
      <w:r>
        <w:t xml:space="preserve"> </w:t>
      </w:r>
      <w:r>
        <w:t xml:space="preserve">Then on either size of the block, the radargram signature resembles one-half of a hyperbola.</w:t>
      </w:r>
    </w:p>
    <w:p>
      <w:pPr>
        <w:pStyle w:val="BodyText"/>
      </w:pPr>
      <w:r>
        <w:rPr>
          <w:b/>
          <w:bCs/>
        </w:rPr>
        <w:t xml:space="preserve">Resolving Buried Objects: Method 1</w:t>
      </w:r>
    </w:p>
    <w:p>
      <w:pPr>
        <w:pStyle w:val="BodyText"/>
      </w:pPr>
      <w:r>
        <w:t xml:space="preserve">In order to locate buried objects, we first need to use the radargram to obtain a velocity for the medium.</w:t>
      </w:r>
      <w:r>
        <w:t xml:space="preserve"> </w:t>
      </w:r>
      <w:r>
        <w:t xml:space="preserve">Let us begin by considering the pipe.</w:t>
      </w:r>
      <w:r>
        <w:t xml:space="preserve"> </w:t>
      </w:r>
      <w:r>
        <w:t xml:space="preserve">Notice that at large offset distances from the horizontal location of the pipe (i.e. when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p</m:t>
            </m:r>
          </m:sub>
        </m:sSub>
        <m:r>
          <m:rPr>
            <m:sty m:val="p"/>
          </m:rPr>
          <m:t>≫</m:t>
        </m:r>
        <m:r>
          <m:t>d</m:t>
        </m:r>
      </m:oMath>
      <w:r>
        <w:t xml:space="preserve">), the travel time for the pipe becomes: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V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V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d</m:t>
              </m:r>
            </m:e>
          </m:d>
          <m:r>
            <m:t> </m:t>
          </m:r>
          <m:r>
            <m:t> </m:t>
          </m:r>
          <m:r>
            <m:t> </m:t>
          </m:r>
          <m:r>
            <m:rPr>
              <m:nor/>
              <m:sty m:val="p"/>
            </m:rPr>
            <m:t>for</m:t>
          </m:r>
          <m:r>
            <m:t> </m:t>
          </m:r>
          <m:r>
            <m:t> </m:t>
          </m:r>
          <m:r>
            <m:t> </m:t>
          </m:r>
          <m:r>
            <m:t>Δ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≫</m:t>
          </m:r>
          <m:r>
            <m:t>d</m:t>
          </m:r>
        </m:oMath>
      </m:oMathPara>
    </w:p>
    <w:p>
      <w:pPr>
        <w:pStyle w:val="FirstParagraph"/>
      </w:pPr>
      <w:r>
        <w:t xml:space="preserve">Therefore, each end of the hyperbolic signature has a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2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(red dashed lines).</w:t>
      </w:r>
      <w:r>
        <w:t xml:space="preserve"> </w:t>
      </w:r>
      <w:r>
        <w:t xml:space="preserve">The slope on the radargram can ultimately be used as a crude approximation for the medium velocity.</w:t>
      </w:r>
      <w:r>
        <w:t xml:space="preserve"> </w:t>
      </w:r>
      <w:r>
        <w:t xml:space="preserve">Once the medium velocity has been obtained, the depth to the object can be calculated using the minimum travel time.</w:t>
      </w:r>
      <w:r>
        <w:t xml:space="preserve"> </w:t>
      </w:r>
      <w:r>
        <w:t xml:space="preserve">The minimum travel time for the pipe (blue dashed line)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d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Notice that for the block the travel time also shows a slope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2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as we move far enough away.</w:t>
      </w:r>
      <w:r>
        <w:t xml:space="preserve"> </w:t>
      </w:r>
      <w:r>
        <w:t xml:space="preserve">As a result, we can approximate the medium velocity using the block's radargram signature then use its minimum travel time to get the depth.</w:t>
      </w:r>
    </w:p>
    <w:p>
      <w:pPr>
        <w:pStyle w:val="BodyText"/>
      </w:pPr>
      <w:r>
        <w:rPr>
          <w:b/>
          <w:bCs/>
        </w:rPr>
        <w:t xml:space="preserve">Resolving Buried Objects: Method 2</w:t>
      </w:r>
    </w:p>
    <w:p>
      <w:pPr>
        <w:pStyle w:val="BodyText"/>
      </w:pPr>
      <w:r>
        <w:t xml:space="preserve">Notice that the offset distance must be sufficiently large in order to obtain the medium velocity.</w:t>
      </w:r>
      <w:r>
        <w:t xml:space="preserve"> </w:t>
      </w:r>
      <w:r>
        <w:t xml:space="preserve">If the offset distance is insufficient, we must use a different method for determining the medium velocity.</w:t>
      </w:r>
    </w:p>
    <w:p>
      <w:pPr>
        <w:pStyle w:val="BodyText"/>
      </w:pPr>
      <w:r>
        <w:t xml:space="preserve">Let us first consider the</w:t>
      </w:r>
      <w:r>
        <w:t xml:space="preserve"> </w:t>
      </w:r>
      <w:r>
        <w:rPr>
          <w:b/>
          <w:bCs/>
        </w:rPr>
        <w:t xml:space="preserve">pipe</w:t>
      </w:r>
      <w:r>
        <w:t xml:space="preserve">.</w:t>
      </w:r>
      <w:r>
        <w:t xml:space="preserve"> </w:t>
      </w:r>
      <w:r>
        <w:t xml:space="preserve">The total travel time for the reflected GPR signal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L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When we are directly over the pipe, we will have a minimum travel time equal to (blue dashed line):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d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By combining the two previous equations, we see that: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2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FirstParagraph"/>
      </w:pPr>
      <w:r>
        <w:t xml:space="preserve">where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t</m:t>
        </m:r>
      </m:oMath>
      <w:r>
        <w:t xml:space="preserve">) represents are arbitrary point on the hyperbolic signature within the radargram.</w:t>
      </w:r>
      <w:r>
        <w:t xml:space="preserve"> </w:t>
      </w:r>
      <w:r>
        <w:t xml:space="preserve">Given that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can be obtained directly from the radargram,</w:t>
      </w:r>
      <w:r>
        <w:t xml:space="preserve"> </w:t>
      </w:r>
      <w:r>
        <w:rPr>
          <w:b/>
          <w:bCs/>
        </w:rPr>
        <w:t xml:space="preserve">any other point</w:t>
      </w:r>
      <w:r>
        <w:t xml:space="preserve"> </w:t>
      </w:r>
      <w:r>
        <w:t xml:space="preserve">on the hyperbola can be used to determine the propagation velocity of the medium.</w:t>
      </w:r>
      <w:r>
        <w:t xml:space="preserve"> </w:t>
      </w:r>
      <w:r>
        <w:t xml:space="preserve">This may come in handy when a portion of the hyperbola is obstructed by other signals.</w:t>
      </w:r>
      <w:r>
        <w:t xml:space="preserve"> </w:t>
      </w:r>
      <w:r>
        <w:t xml:space="preserve">Also note that once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determined, the definition of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can be used to determine the depth of the object.</w:t>
      </w:r>
    </w:p>
    <w:p>
      <w:pPr>
        <w:pStyle w:val="BodyText"/>
      </w:pPr>
      <w:r>
        <w:t xml:space="preserve">Notice that for locations to the left and to the right of the block, the total travel time behaves like a hyperbola.</w:t>
      </w:r>
      <w:r>
        <w:t xml:space="preserve"> </w:t>
      </w:r>
      <w:r>
        <w:t xml:space="preserve">Therefore, we can use the same approach.</w:t>
      </w:r>
      <w:r>
        <w:t xml:space="preserve"> </w:t>
      </w:r>
      <w:r>
        <w:t xml:space="preserve">The only difference being that</w:t>
      </w:r>
      <w:r>
        <w:t xml:space="preserve"> </w:t>
      </w:r>
      <m:oMath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replaced by either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</m:sub>
        </m:sSub>
      </m:oMath>
      <w:r>
        <w:t xml:space="preserve">; which depends on the side of the block's signature you use.</w:t>
      </w:r>
    </w:p>
    <w:bookmarkEnd w:id="20"/>
    <w:bookmarkStart w:id="21" w:name="dipping-layers"/>
    <w:p>
      <w:pPr>
        <w:pStyle w:val="Heading2"/>
      </w:pPr>
      <w:r>
        <w:t xml:space="preserve">Dipping Layers</w:t>
      </w:r>
    </w:p>
    <w:p>
      <w:pPr>
        <w:pStyle w:val="FirstParagraph"/>
      </w:pPr>
      <w:r>
        <w:t xml:space="preserve">So far we have only considered interfaces which are approximately horizontal.</w:t>
      </w:r>
      <w:r>
        <w:t xml:space="preserve"> </w:t>
      </w:r>
      <w:r>
        <w:t xml:space="preserve">However, the subsurface may consist of dipping layers.</w:t>
      </w:r>
      <w:r>
        <w:t xml:space="preserve"> </w:t>
      </w:r>
      <w:r>
        <w:t xml:space="preserve">This can lead to challenges when attempting to interpret reflections in the data.</w:t>
      </w:r>
    </w:p>
    <w:p>
      <w:pPr>
        <w:pStyle w:val="BodyText"/>
      </w:pPr>
      <w:r>
        <w:t xml:space="preserve">For a zero-offset survey, we can see that the reflected signal returns at an angle.</w:t>
      </w:r>
      <w:r>
        <w:t xml:space="preserve"> </w:t>
      </w:r>
      <w:r>
        <w:t xml:space="preserve">This is because the reflection happens perpendicular to the surface of the interface in this case.</w:t>
      </w:r>
      <w:r>
        <w:t xml:space="preserve"> </w:t>
      </w:r>
      <w:r>
        <w:t xml:space="preserve">As a result, the two-way travel time does not correspond to the depth of the interface.</w:t>
      </w:r>
      <w:r>
        <w:t xml:space="preserve"> </w:t>
      </w:r>
      <w:r>
        <w:t xml:space="preserve">Instead, it corresponds to the minimum travel distance.</w:t>
      </w:r>
      <w:r>
        <w:t xml:space="preserve"> </w:t>
      </w:r>
      <w:r>
        <w:t xml:space="preserve">If we assume the reflected signal gives us the vertical distance to the interface, we will</w:t>
      </w:r>
      <w:r>
        <w:t xml:space="preserve"> </w:t>
      </w:r>
      <w:r>
        <w:rPr>
          <w:b/>
          <w:bCs/>
        </w:rPr>
        <w:t xml:space="preserve">under-estimate</w:t>
      </w:r>
      <w:r>
        <w:t xml:space="preserve"> </w:t>
      </w:r>
      <w:r>
        <w:t xml:space="preserve">the dip of the interface.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images_new/GPR_dipping_layer.png</w:t>
            </w:r>
          </w:p>
        </w:tc>
      </w:tr>
    </w:tbl>
    <w:p>
      <w:pPr>
        <w:pStyle w:val="ImageCaption"/>
      </w:pPr>
      <w:r>
        <w:t xml:space="preserve">Reflections from a dipping layer for a common-offset survey.</w:t>
      </w:r>
    </w:p>
    <w:p>
      <w:pPr>
        <w:pStyle w:val="BodyText"/>
      </w:pPr>
      <w:r>
        <w:rPr>
          <w:b/>
          <w:bCs/>
        </w:rPr>
        <w:t xml:space="preserve">Migration Correction</w:t>
      </w:r>
    </w:p>
    <w:p>
      <w:pPr>
        <w:pStyle w:val="BodyText"/>
      </w:pPr>
      <w:r>
        <w:t xml:space="preserve">The true dip of the interface can be recovered using circular arcs.</w:t>
      </w:r>
      <w:r>
        <w:t xml:space="preserve"> </w:t>
      </w:r>
      <w:r>
        <w:t xml:space="preserve">To apply the correction (assuming you have obtained the velocity of the top-layer from the direct ground wave or other means):</w:t>
      </w:r>
    </w:p>
    <w:p>
      <w:pPr>
        <w:pStyle w:val="Compact"/>
        <w:numPr>
          <w:ilvl w:val="0"/>
          <w:numId w:val="1002"/>
        </w:numPr>
      </w:pPr>
      <w:r>
        <w:t xml:space="preserve">Obtain the distance from the two-way travel time of the reflection. Assume this represents the vertical distance to the interface. Doing so will give you the dashed line shown in the figure above.</w:t>
      </w:r>
    </w:p>
    <w:p>
      <w:pPr>
        <w:pStyle w:val="Compact"/>
        <w:numPr>
          <w:ilvl w:val="0"/>
          <w:numId w:val="1002"/>
        </w:numPr>
      </w:pPr>
      <w:r>
        <w:t xml:space="preserve">For each Tx-Rx position, draw and arc centered at this location, which passes through the under-estimated vertical distance point (found on the dashed line).</w:t>
      </w:r>
    </w:p>
    <w:p>
      <w:pPr>
        <w:pStyle w:val="Compact"/>
        <w:numPr>
          <w:ilvl w:val="0"/>
          <w:numId w:val="1002"/>
        </w:numPr>
      </w:pPr>
      <w:r>
        <w:t xml:space="preserve">The true dipping interface is created by drawing a line which intersects all of the arcs at only a single point (black line).</w:t>
      </w:r>
    </w:p>
    <w:bookmarkEnd w:id="21"/>
    <w:bookmarkEnd w:id="22"/>
    <w:bookmarkStart w:id="23" w:name="common-midpoint-survey"/>
    <w:p>
      <w:pPr>
        <w:pStyle w:val="Heading1"/>
      </w:pPr>
      <w:r>
        <w:t xml:space="preserve">Common Midpoint Survey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images_new/GPR_common_midpoint.png</w:t>
            </w:r>
          </w:p>
        </w:tc>
      </w:tr>
    </w:tbl>
    <w:p>
      <w:pPr>
        <w:pStyle w:val="DefinitionTerm"/>
      </w:pPr>
      <w:r>
        <w:t xml:space="preserve">align</w:t>
      </w:r>
    </w:p>
    <w:p>
      <w:pPr>
        <w:pStyle w:val="Definition"/>
      </w:pPr>
      <w:r>
        <w:t xml:space="preserve">right</w:t>
      </w:r>
    </w:p>
    <w:p>
      <w:pPr>
        <w:pStyle w:val="DefinitionTerm"/>
      </w:pPr>
      <w:r>
        <w:t xml:space="preserve">figwidth</w:t>
      </w:r>
    </w:p>
    <w:p>
      <w:pPr>
        <w:pStyle w:val="Definition"/>
      </w:pPr>
      <w:r>
        <w:t xml:space="preserve">40%</w:t>
      </w:r>
    </w:p>
    <w:p>
      <w:pPr>
        <w:pStyle w:val="BlockText"/>
      </w:pPr>
      <w:r>
        <w:t xml:space="preserve">Common midpoint survey configuration.</w:t>
      </w:r>
    </w:p>
    <w:p>
      <w:pPr>
        <w:pStyle w:val="FirstParagraph"/>
      </w:pPr>
      <w:r>
        <w:t xml:space="preserve">For this configuration, the distance between the transmitter and receiver are changed for every reading.</w:t>
      </w:r>
      <w:r>
        <w:t xml:space="preserve"> </w:t>
      </w:r>
      <w:r>
        <w:t xml:space="preserve">However, the halfway point between the transmitter and the receiver is kept the same.</w:t>
      </w:r>
      <w:r>
        <w:t xml:space="preserve"> </w:t>
      </w:r>
      <w:r>
        <w:t xml:space="preserve">As we will show, common midpoint surveys are useful for determining the top-layer velocity and thickness.</w:t>
      </w:r>
    </w:p>
    <w:p>
      <w:pPr>
        <w:pStyle w:val="BodyText"/>
      </w:pPr>
      <w:r>
        <w:t xml:space="preserve">From the survey schematic, we see that if the interface is approximately flat, the point of reflection is the same for all readings.</w:t>
      </w:r>
      <w:r>
        <w:t xml:space="preserve"> </w:t>
      </w:r>
      <w:r>
        <w:t xml:space="preserve">As a result, the signal from the reflected wave in the radargram should form a hyperbola.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images_new/GPR_example_buried_object_2.png</w:t>
            </w:r>
          </w:p>
        </w:tc>
      </w:tr>
    </w:tbl>
    <w:p>
      <w:pPr>
        <w:pStyle w:val="ImageCaption"/>
      </w:pPr>
      <w:r>
        <w:t xml:space="preserve">Geometry shown how radargram can be used to find propagation velocity.</w:t>
      </w:r>
    </w:p>
    <w:p>
      <w:pPr>
        <w:pStyle w:val="BodyText"/>
      </w:pPr>
      <w:r>
        <w:t xml:space="preserve">Once again, the travel time for the radiowave signal is given by: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thickness of the top layer 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distance between the mid-point and either the transmitter or the receiver.</w:t>
      </w:r>
      <w:r>
        <w:t xml:space="preserve"> </w:t>
      </w:r>
      <w:r>
        <w:t xml:space="preserve">Once again by defining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t>d</m:t>
        </m:r>
        <m:r>
          <m:rPr>
            <m:sty m:val="p"/>
          </m:rPr>
          <m:t>/</m:t>
        </m:r>
        <m:r>
          <m:t>V</m:t>
        </m:r>
      </m:oMath>
      <w:r>
        <w:t xml:space="preserve">, the top-layer velocity is given by: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2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w:r>
        <w:rPr>
          <w:b/>
          <w:bCs/>
        </w:rPr>
        <w:t xml:space="preserve">any point</w:t>
      </w:r>
      <w:r>
        <w:t xml:space="preserve"> </w:t>
      </w:r>
      <w:r>
        <w:t xml:space="preserve">on the parabola can be used to determine the top-layer velocity from a common mid-point survey.</w:t>
      </w:r>
      <w:r>
        <w:t xml:space="preserve"> </w:t>
      </w:r>
      <w:r>
        <w:t xml:space="preserve">And once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determined, the definition of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can be used to obtain the thickness of the top layer.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images_new/GPR_survey_transillumination.jpg</w:t>
            </w:r>
          </w:p>
        </w:tc>
      </w:tr>
    </w:tbl>
    <w:p>
      <w:pPr>
        <w:pStyle w:val="ImageCaption"/>
      </w:pPr>
      <w:r>
        <w:t xml:space="preserve">Transillumination surveys. (A) Mine-shaft structural integrity (B) Borehole survey. (C) Concrete pillar testing.</w:t>
      </w:r>
    </w:p>
    <w:bookmarkEnd w:id="23"/>
    <w:bookmarkStart w:id="25" w:name="transillumination-survey"/>
    <w:p>
      <w:pPr>
        <w:pStyle w:val="Heading1"/>
      </w:pPr>
      <w:r>
        <w:t xml:space="preserve">Transillumination Survey</w:t>
      </w:r>
    </w:p>
    <w:p>
      <w:pPr>
        <w:pStyle w:val="FirstParagraph"/>
      </w:pPr>
      <w:r>
        <w:t xml:space="preserve">When performing a transillumination GPR survey, multiple transmitters and receivers are placed on either side of an region of interest.</w:t>
      </w:r>
      <w:r>
        <w:t xml:space="preserve"> </w:t>
      </w:r>
      <w:r>
        <w:t xml:space="preserve">There are many applications for transillumination surveys, some of which are mentioned here.</w:t>
      </w:r>
    </w:p>
    <w:p>
      <w:pPr>
        <w:pStyle w:val="BodyText"/>
      </w:pPr>
      <w:r>
        <w:t xml:space="preserve">In panel (A), a transillumination survey is being used to assess the structural integrity between two mine shafts.</w:t>
      </w:r>
      <w:r>
        <w:t xml:space="preserve"> </w:t>
      </w:r>
      <w:r>
        <w:t xml:space="preserve">By using GPR, we can determine if there are void spaces between the mine shafts or any potential planes of weakness.</w:t>
      </w:r>
      <w:r>
        <w:t xml:space="preserve"> </w:t>
      </w:r>
      <w:r>
        <w:t xml:space="preserve">The information collected can be used to assure the mine shaft is safe.</w:t>
      </w:r>
    </w:p>
    <w:p>
      <w:pPr>
        <w:pStyle w:val="BodyText"/>
      </w:pPr>
      <w:r>
        <w:t xml:space="preserve">In panel (B), we see a transillumination borehole survey.</w:t>
      </w:r>
      <w:r>
        <w:t xml:space="preserve"> </w:t>
      </w:r>
      <w:r>
        <w:t xml:space="preserve">In some cases, a surface survey may not supply sufficient information about a particular region of interest.</w:t>
      </w:r>
      <w:r>
        <w:t xml:space="preserve"> </w:t>
      </w:r>
      <w:r>
        <w:t xml:space="preserve">Although it is more expensive and time-consuming, this type of survey may be required.</w:t>
      </w:r>
    </w:p>
    <w:p>
      <w:pPr>
        <w:pStyle w:val="BodyText"/>
      </w:pPr>
      <w:r>
        <w:t xml:space="preserve">In panel (C), a GPR transmitter and receiver are placed on opposing sides of an object; in this case, a concrete pillar.</w:t>
      </w:r>
      <w:r>
        <w:t xml:space="preserve"> </w:t>
      </w:r>
      <w:r>
        <w:t xml:space="preserve">This represents a non-invasive approach for determining internal structures.</w:t>
      </w:r>
    </w:p>
    <w:p>
      <w:pPr>
        <w:pStyle w:val="BodyText"/>
      </w:pPr>
      <w:r>
        <w:rPr>
          <w:b/>
          <w:bCs/>
        </w:rPr>
        <w:t xml:space="preserve">Wavelet Example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images_new/GPR_wavelet_example.png</w:t>
            </w:r>
          </w:p>
        </w:tc>
      </w:tr>
    </w:tbl>
    <w:p>
      <w:pPr>
        <w:pStyle w:val="ImageCaption"/>
      </w:pPr>
      <w:r>
        <w:t xml:space="preserve">Example of a wavelet signal.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images_new/Electromagneticwave3D.gif</w:t>
            </w:r>
          </w:p>
        </w:tc>
      </w:tr>
    </w:tbl>
    <w:p>
      <w:pPr>
        <w:pStyle w:val="ImageCaption"/>
      </w:pPr>
      <w:r>
        <w:t xml:space="preserve">Electromagnetic waves contained within the GPR pulse.</w:t>
      </w:r>
      <w:r>
        <w:t xml:space="preserve"> </w:t>
      </w:r>
      <w:hyperlink r:id="rId24">
        <w:r>
          <w:rPr>
            <w:rStyle w:val="Hyperlink"/>
          </w:rPr>
          <w:t xml:space="preserve">Image source</w:t>
        </w:r>
      </w:hyperlink>
      <w:r>
        <w:t xml:space="preserve"> 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images_new/GPR_wavelet_frequencies_example.png</w:t>
            </w:r>
          </w:p>
        </w:tc>
      </w:tr>
    </w:tbl>
    <w:p>
      <w:pPr>
        <w:pStyle w:val="ImageCaption"/>
      </w:pPr>
      <w:r>
        <w:t xml:space="preserve">Band of frequencies for a particular wavelet.</w:t>
      </w:r>
    </w:p>
    <w:bookmarkEnd w:id="25"/>
    <w:bookmarkStart w:id="28" w:name="source-signal"/>
    <w:p>
      <w:pPr>
        <w:pStyle w:val="Heading1"/>
      </w:pPr>
      <w:r>
        <w:t xml:space="preserve">Source Signal</w:t>
      </w:r>
    </w:p>
    <w:p>
      <w:pPr>
        <w:pStyle w:val="FirstParagraph"/>
      </w:pPr>
      <w:r>
        <w:t xml:space="preserve">As we have already discussed, the source antenna sends a pulse of radiowaves into the ground.</w:t>
      </w:r>
      <w:r>
        <w:t xml:space="preserve"> </w:t>
      </w:r>
      <w:r>
        <w:t xml:space="preserve">Radiowaves carry oscillating electric and magnetic fields.</w:t>
      </w:r>
      <w:r>
        <w:t xml:space="preserve"> </w:t>
      </w:r>
      <w:r>
        <w:t xml:space="preserve">As it turns out, the pulse is not made up entirely of radiowaves of a single frequency.</w:t>
      </w:r>
      <w:r>
        <w:t xml:space="preserve"> </w:t>
      </w:r>
      <w:r>
        <w:t xml:space="preserve">Instead, a set of sinusoidal EM waves of similar frequencies are used create what is called a wavelet.</w:t>
      </w:r>
      <w:r>
        <w:t xml:space="preserve"> </w:t>
      </w:r>
      <w:r>
        <w:t xml:space="preserve">As a result, the wavelet contains information over a range of frequencies (generally between</w:t>
      </w:r>
      <w:r>
        <w:t xml:space="preserve"> 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Hz).</w:t>
      </w:r>
    </w:p>
    <w:p>
      <w:pPr>
        <w:pStyle w:val="BodyText"/>
      </w:pPr>
      <w:r>
        <w:t xml:space="preserve">Before we move forward let us define a few terms: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Wavelet</w:t>
      </w:r>
      <w:r>
        <w:t xml:space="preserve">: A wave-like oscillation of short duration.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Bandwidth</w:t>
      </w:r>
      <w:r>
        <w:t xml:space="preserve">: The range of frequencies present in the source wavelet.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Pulse Width</w:t>
      </w:r>
      <w:r>
        <w:t xml:space="preserve">: The time duration of the wavelet.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Spatial Length (wavelength)</w:t>
      </w:r>
      <w:r>
        <w:t xml:space="preserve">: The physical length of the wavelet signal while it propagates through a medium.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Central Frequency</w:t>
      </w:r>
      <w:r>
        <w:t xml:space="preserve">: The central frequency corresponding to the bandwidth. In general, the central frequency defines the propagation of the GPR signal.</w:t>
      </w:r>
    </w:p>
    <w:bookmarkStart w:id="26" w:name="gpr-signals-and-bandwidth"/>
    <w:p>
      <w:pPr>
        <w:pStyle w:val="Heading2"/>
      </w:pPr>
      <w:r>
        <w:t xml:space="preserve">GPR Signals and Bandwidth</w:t>
      </w:r>
    </w:p>
    <w:p>
      <w:pPr>
        <w:pStyle w:val="FirstParagraph"/>
      </w:pPr>
      <w:r>
        <w:t xml:space="preserve">The figure below can be used to examine the relationships between the 5 aforementioned terms.</w:t>
      </w:r>
      <w:r>
        <w:t xml:space="preserve"> </w:t>
      </w:r>
      <w:r>
        <w:t xml:space="preserve">As we can see, the bandwidth and central frequency for the GPR signal depend on the pulse width of the wavelet.</w:t>
      </w:r>
      <w:r>
        <w:t xml:space="preserve"> </w:t>
      </w:r>
      <w:r>
        <w:t xml:space="preserve">Here are a few important relationships to keep in mind:</w:t>
      </w:r>
    </w:p>
    <w:p>
      <w:pPr>
        <w:pStyle w:val="BodyText"/>
      </w:pPr>
      <w:r>
        <w:rPr>
          <w:b/>
          <w:bCs/>
        </w:rPr>
        <w:t xml:space="preserve">1)</w:t>
      </w:r>
      <w:r>
        <w:t xml:space="preserve"> </w:t>
      </w:r>
      <w:r>
        <w:t xml:space="preserve">For a pulse width</w:t>
      </w:r>
      <w:r>
        <w:t xml:space="preserve"> </w:t>
      </w:r>
      <m:oMath>
        <m:r>
          <m:t>Δ</m:t>
        </m:r>
        <m:r>
          <m:t>t</m:t>
        </m:r>
      </m:oMath>
      <w:r>
        <w:t xml:space="preserve">, the central frequency</w:t>
      </w:r>
      <w:r>
        <w:t xml:space="preserve"> </w:t>
      </w:r>
      <m:oMath>
        <m:sSub>
          <m:e>
            <m:r>
              <m:t>f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Δ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As a result, longer wavelets generally contain lower-frequency information.</w:t>
      </w:r>
      <w:r>
        <w:t xml:space="preserve"> </w:t>
      </w:r>
      <w:r>
        <w:t xml:space="preserve">Frequencies corresponding to GPR signal are around 100 MHz to 1 GHz.</w:t>
      </w:r>
      <w:r>
        <w:t xml:space="preserve"> </w:t>
      </w:r>
      <w:r>
        <w:t xml:space="preserve">This results in pulse widths around 1 ns to 10 ns.</w:t>
      </w:r>
    </w:p>
    <w:p>
      <w:pPr>
        <w:pStyle w:val="BodyText"/>
      </w:pPr>
      <w:r>
        <w:rPr>
          <w:b/>
          <w:bCs/>
        </w:rPr>
        <w:t xml:space="preserve">2) The bandwidth increases as the pulse width decreases.</w:t>
      </w:r>
      <w:r>
        <w:t xml:space="preserve"> </w:t>
      </w:r>
      <w:r>
        <w:t xml:space="preserve">In order to create a wavelet with a longer pulse width, only frequencies near the central frequency are needed.</w:t>
      </w:r>
      <w:r>
        <w:t xml:space="preserve"> </w:t>
      </w:r>
      <w:r>
        <w:t xml:space="preserve">However, a large range of frequencies (or bandwidth) is needed to create wavelets that have short pulse widths.</w:t>
      </w:r>
    </w:p>
    <w:p>
      <w:pPr>
        <w:pStyle w:val="BodyText"/>
      </w:pPr>
      <w:r>
        <w:rPr>
          <w:b/>
          <w:bCs/>
        </w:rPr>
        <w:t xml:space="preserve">3) The spatial length (wavelength) increases as the pulse width increases</w:t>
      </w:r>
      <w:r>
        <w:t xml:space="preserve">.</w:t>
      </w:r>
      <w:r>
        <w:t xml:space="preserve"> </w:t>
      </w:r>
      <w:r>
        <w:t xml:space="preserve">As we can see from the figure below, the "wave envelope" is longer for wavelets that have a long pulse width.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images_new/GPR_pulse_bandwidth.png</w:t>
            </w:r>
          </w:p>
        </w:tc>
      </w:tr>
    </w:tbl>
    <w:bookmarkEnd w:id="26"/>
    <w:bookmarkStart w:id="27" w:name="gpr-signals-and-spatial-length"/>
    <w:p>
      <w:pPr>
        <w:pStyle w:val="Heading2"/>
      </w:pPr>
      <w:r>
        <w:t xml:space="preserve">GPR Signals and Spatial Length</w:t>
      </w:r>
    </w:p>
    <w:p>
      <w:pPr>
        <w:pStyle w:val="FirstParagraph"/>
      </w:pPr>
      <w:r>
        <w:t xml:space="preserve">The spatial length of the GPR wavelet signal is different as it moves through different materials.</w:t>
      </w:r>
      <w:r>
        <w:t xml:space="preserve"> </w:t>
      </w:r>
      <w:r>
        <w:t xml:space="preserve">For a wavelet with central frequency</w:t>
      </w:r>
      <w:r>
        <w:t xml:space="preserve"> </w:t>
      </w:r>
      <m:oMath>
        <m:sSub>
          <m:e>
            <m:r>
              <m:t>f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moving at velocity</w:t>
      </w:r>
      <w:r>
        <w:t xml:space="preserve"> </w:t>
      </w:r>
      <m:oMath>
        <m:r>
          <m:t>V</m:t>
        </m:r>
      </m:oMath>
      <w:r>
        <w:t xml:space="preserve">, the wavelength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</m:num>
            <m:den>
              <m:sSub>
                <m:e>
                  <m:r>
                    <m:t>f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sSub>
                <m:e>
                  <m:r>
                    <m:t>f</m:t>
                  </m:r>
                </m:e>
                <m:sub>
                  <m:r>
                    <m:t>c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3.00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m/s is the speed of light and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is the relative permittivity.</w:t>
      </w:r>
      <w:r>
        <w:t xml:space="preserve"> </w:t>
      </w:r>
      <w:r>
        <w:t xml:space="preserve">This expressions shows that if the signal is moving through a material with a higher dielectric permittivity, it will move slower and it will have a larger spatial width.</w:t>
      </w:r>
      <w:r>
        <w:t xml:space="preserve"> </w:t>
      </w:r>
      <w:r>
        <w:t xml:space="preserve">It also shows that GPR signals with higher central frequencies have shorter spatial widths.</w:t>
      </w:r>
    </w:p>
    <w:p>
      <w:pPr>
        <w:pStyle w:val="BodyText"/>
      </w:pPr>
      <w:r>
        <w:t xml:space="preserve">Recall that the central frequency is the reciprocal of the pulse width (</w:t>
      </w:r>
      <m:oMath>
        <m:sSub>
          <m:e>
            <m:r>
              <m:t>f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Δ</m:t>
        </m:r>
        <m:r>
          <m:t>t</m:t>
        </m:r>
      </m:oMath>
      <w:r>
        <w:t xml:space="preserve">).</w:t>
      </w:r>
      <w:r>
        <w:t xml:space="preserve"> </w:t>
      </w: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r>
            <m:t>V</m:t>
          </m:r>
          <m:r>
            <m:t> 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t> </m:t>
              </m:r>
              <m:r>
                <m:t>Δ</m:t>
              </m:r>
              <m:r>
                <m:t>t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Therefore, shorter pulse widths result in shorter spatial lengths.</w:t>
      </w:r>
      <w:r>
        <w:t xml:space="preserve"> </w:t>
      </w:r>
      <w:r>
        <w:t xml:space="preserve">This was stated in the previous subsection.</w:t>
      </w:r>
    </w:p>
    <w:p>
      <w:pPr>
        <w:pStyle w:val="BodyText"/>
      </w:pPr>
      <w:r>
        <w:t xml:space="preserve">Examine the gif in</w:t>
      </w:r>
      <w:r>
        <w:t xml:space="preserve"> </w:t>
      </w:r>
      <w:r>
        <w:rPr>
          <w:rStyle w:val="VerbatimChar"/>
        </w:rPr>
        <w:t xml:space="preserve">fig_gpr_layeredearth_gif</w:t>
      </w:r>
      <w:r>
        <w:t xml:space="preserve">.</w:t>
      </w:r>
      <w:r>
        <w:t xml:space="preserve"> </w:t>
      </w:r>
      <w:r>
        <w:t xml:space="preserve">Examine the wave as it propagates through both the ground and the Earth.</w:t>
      </w:r>
      <w:r>
        <w:t xml:space="preserve"> </w:t>
      </w:r>
      <w:r>
        <w:t xml:space="preserve">In which medium is the wavefront thicker/thinner?</w:t>
      </w:r>
      <w:r>
        <w:t xml:space="preserve"> </w:t>
      </w:r>
      <w:r>
        <w:t xml:space="preserve">In which medium is the GPR signal moving slower/faster?</w:t>
      </w:r>
      <w:r>
        <w:t xml:space="preserve"> </w:t>
      </w:r>
      <w:r>
        <w:t xml:space="preserve">Does this make sense from the equations above?</w:t>
      </w:r>
    </w:p>
    <w:bookmarkEnd w:id="27"/>
    <w:bookmarkEnd w:id="28"/>
    <w:bookmarkStart w:id="33" w:name="survey-resolution-and-probing-distance"/>
    <w:p>
      <w:pPr>
        <w:pStyle w:val="Heading1"/>
      </w:pPr>
      <w:r>
        <w:t xml:space="preserve">Survey Resolution and Probing Distance</w:t>
      </w:r>
    </w:p>
    <w:p>
      <w:pPr>
        <w:pStyle w:val="FirstParagraph"/>
      </w:pPr>
      <w:r>
        <w:t xml:space="preserve">The pulse width, and thus the frequency content contained within the GPR signal, is a very important aspect of planning a GPR survey.</w:t>
      </w:r>
      <w:r>
        <w:t xml:space="preserve"> </w:t>
      </w:r>
      <w:r>
        <w:t xml:space="preserve">The concepts of resolution and probing distance are discussed here.</w:t>
      </w:r>
    </w:p>
    <w:bookmarkStart w:id="29" w:name="vertical-resolution-for-layers"/>
    <w:p>
      <w:pPr>
        <w:pStyle w:val="Heading2"/>
      </w:pPr>
      <w:r>
        <w:t xml:space="preserve">Vertical Resolution for Layers</w:t>
      </w:r>
    </w:p>
    <w:p>
      <w:pPr>
        <w:pStyle w:val="FirstParagraph"/>
      </w:pPr>
      <w:r>
        <w:t xml:space="preserve">Resolution defines the smallest features which can be distinguished in a GPR survey.</w:t>
      </w:r>
      <w:r>
        <w:t xml:space="preserve"> </w:t>
      </w:r>
      <w:r>
        <w:t xml:space="preserve">The vertical resolution for GPR surveys depends on the pulse width of the signal.</w:t>
      </w:r>
    </w:p>
    <w:p>
      <w:pPr>
        <w:pStyle w:val="BodyText"/>
      </w:pPr>
      <w:r>
        <w:t xml:space="preserve">In order for a layer to be detected using a GPR survey, it must be sufficiently thick compared to the wavelength of the incoming wavelet.</w:t>
      </w:r>
      <w:r>
        <w:t xml:space="preserve"> </w:t>
      </w:r>
      <w:r>
        <w:t xml:space="preserve">As a general rule, the layer must be at least 1/4 the wavelength of the incoming wavelet to be detectable.</w:t>
      </w:r>
      <w:r>
        <w:t xml:space="preserve"> </w:t>
      </w: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4</m:t>
              </m:r>
              <m:sSub>
                <m:e>
                  <m:r>
                    <m:t>f</m:t>
                  </m:r>
                </m:e>
                <m:sub>
                  <m:r>
                    <m:t>c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t>Δ</m:t>
              </m:r>
              <m:r>
                <m:t>t</m:t>
              </m:r>
            </m:num>
            <m:den>
              <m:r>
                <m:t>4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layer thickness,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​</m:t>
        </m:r>
        <m:rad>
          <m:radPr>
            <m:degHide m:val="on"/>
          </m:radPr>
          <m:deg/>
          <m:e>
            <m:sSub>
              <m:e>
                <m:r>
                  <m:t>ε</m:t>
                </m:r>
              </m:e>
              <m:sub>
                <m:r>
                  <m:t>r</m:t>
                </m:r>
              </m:sub>
            </m:sSub>
          </m:e>
        </m:rad>
      </m:oMath>
      <w:r>
        <w:t xml:space="preserve"> </w:t>
      </w:r>
      <w:r>
        <w:t xml:space="preserve">is the propagation velocity for radiowaves,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is the pulse width and</w:t>
      </w:r>
      <w:r>
        <w:t xml:space="preserve"> </w:t>
      </w:r>
      <m:oMath>
        <m:sSub>
          <m:e>
            <m:r>
              <m:t>f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central frequency.</w:t>
      </w:r>
      <w:r>
        <w:t xml:space="preserve"> </w:t>
      </w:r>
      <w:r>
        <w:t xml:space="preserve">As we can see from this expression, higher frequencies/shorter pulse widths are required to observe smaller features.</w:t>
      </w:r>
      <w:r>
        <w:t xml:space="preserve"> </w:t>
      </w:r>
      <w:r>
        <w:t xml:space="preserve">This means higher frequencies/shorter pulse widths are used for higher resolution surveys.</w:t>
      </w:r>
    </w:p>
    <w:bookmarkEnd w:id="29"/>
    <w:bookmarkStart w:id="30" w:name="horizontal-resolution-for-objects"/>
    <w:p>
      <w:pPr>
        <w:pStyle w:val="Heading2"/>
      </w:pPr>
      <w:r>
        <w:t xml:space="preserve">Horizontal Resolution for Objects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images_new/GPR_resolution_horizontal.png</w:t>
            </w:r>
          </w:p>
        </w:tc>
      </w:tr>
    </w:tbl>
    <w:p>
      <w:pPr>
        <w:pStyle w:val="BodyText"/>
      </w:pPr>
      <w:r>
        <w:t xml:space="preserve">When the resolution of the survey is sufficient, returning signals from separate buried objects are distinguishable.</w:t>
      </w:r>
      <w:r>
        <w:t xml:space="preserve"> </w:t>
      </w:r>
      <w:r>
        <w:t xml:space="preserve">However, if buried objects are too close to one another, their respective returning GPR signals can be hard to differentiate.</w:t>
      </w:r>
      <w:r>
        <w:t xml:space="preserve"> </w:t>
      </w:r>
      <w:r>
        <w:t xml:space="preserve">In general, we can distinguish the signals from two nearby objects so long as: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&gt;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V</m:t>
                  </m:r>
                  <m:r>
                    <m:t> </m:t>
                  </m:r>
                  <m:r>
                    <m:t>d</m:t>
                  </m:r>
                </m:num>
                <m:den>
                  <m:r>
                    <m:t>2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propagation velocity,</w:t>
      </w:r>
      <w:r>
        <w:t xml:space="preserve"> </w:t>
      </w:r>
      <m:oMath>
        <m:sSub>
          <m:e>
            <m:r>
              <m:t>f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central frequency for the wavelet,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depth to the objects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separation distance from both objects.</w:t>
      </w:r>
      <w:r>
        <w:t xml:space="preserve"> </w:t>
      </w:r>
      <w:r>
        <w:t xml:space="preserve">We can see from this equation, that by reducing the pulse length, we can see objects that are closer together.</w:t>
      </w:r>
      <w:r>
        <w:t xml:space="preserve"> </w:t>
      </w:r>
      <w:r>
        <w:t xml:space="preserve">Additionally, it is harder to distinguish objects which are further away from the transmitters and receivers.</w:t>
      </w:r>
    </w:p>
    <w:bookmarkEnd w:id="30"/>
    <w:bookmarkStart w:id="31" w:name="probing-distance"/>
    <w:p>
      <w:pPr>
        <w:pStyle w:val="Heading2"/>
      </w:pPr>
      <w:r>
        <w:t xml:space="preserve">Probing Distance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images_new/GPR_probing_distance_2.jpg</w:t>
            </w:r>
          </w:p>
        </w:tc>
      </w:tr>
    </w:tbl>
    <w:p>
      <w:pPr>
        <w:pStyle w:val="ImageCaption"/>
      </w:pPr>
      <w:r>
        <w:t xml:space="preserve">Proving distances for GPR signals for various materials.</w:t>
      </w:r>
    </w:p>
    <w:p>
      <w:pPr>
        <w:pStyle w:val="BodyText"/>
      </w:pPr>
      <w:r>
        <w:t xml:space="preserve">Probing distance characterizes the maximum depth in which GPR signals can be used to obtain information about subsurface structures.</w:t>
      </w:r>
      <w:r>
        <w:t xml:space="preserve"> </w:t>
      </w:r>
      <w:r>
        <w:t xml:space="preserve">For materials which have larger skin depths, radiowaves can penetrate deeper into the ground and still provide a sufficiently strong returning signal.</w:t>
      </w:r>
    </w:p>
    <w:p>
      <w:pPr>
        <w:pStyle w:val="BodyText"/>
      </w:pPr>
      <w:r>
        <w:t xml:space="preserve">As a general rule, the probing distance (</w:t>
      </w:r>
      <m:oMath>
        <m:r>
          <m:t>D</m:t>
        </m:r>
      </m:oMath>
      <w:r>
        <w:t xml:space="preserve">) is approximated 3</w:t>
      </w:r>
      <w:r>
        <w:t xml:space="preserve"> </w:t>
      </w:r>
      <w:r>
        <w:rPr>
          <w:rStyle w:val="VerbatimChar"/>
        </w:rPr>
        <w:t xml:space="preserve">skin depths &lt;GPR_fundamental_principles_skin_depth&gt;</w:t>
      </w:r>
      <w:r>
        <w:t xml:space="preserve">.</w:t>
      </w:r>
      <w:r>
        <w:t xml:space="preserve"> </w:t>
      </w:r>
      <w:r>
        <w:t xml:space="preserve">If we assume the Earth is non-magnetic (</w:t>
      </w:r>
      <m:oMath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δ</m:t>
                </m:r>
                <m:r>
                  <m:rPr>
                    <m:sty m:val="p"/>
                  </m:rPr>
                  <m:t>≈</m:t>
                </m:r>
                <m:d>
                  <m:dPr>
                    <m:begChr m:val="{"/>
                    <m:sepChr m:val=""/>
                    <m:end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1510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σ</m:t>
                                  </m:r>
                                  <m:r>
                                    <m:t>f</m:t>
                                  </m:r>
                                </m:den>
                              </m:f>
                            </m:e>
                          </m:rad>
                          <m:r>
                            <m:t> </m:t>
                          </m:r>
                          <m:r>
                            <m:t> 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for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ω</m:t>
                          </m:r>
                          <m:r>
                            <m:t>ε</m:t>
                          </m:r>
                          <m:r>
                            <m:rPr>
                              <m:sty m:val="p"/>
                            </m:rPr>
                            <m:t>≪</m:t>
                          </m:r>
                          <m:r>
                            <m:t>σ</m:t>
                          </m:r>
                        </m:e>
                      </m:mr>
                      <m:mr>
                        <m:e>
                          <m:r>
                            <m:t>0.0159</m:t>
                          </m:r>
                          <m:f>
                            <m:fPr>
                              <m:type m:val="bar"/>
                            </m:fPr>
                            <m:num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sSub>
                                    <m:e>
                                      <m:r>
                                        <m:t>ε</m:t>
                                      </m:r>
                                    </m:e>
                                    <m:sub>
                                      <m:r>
                                        <m:t>r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>
                                <m:t>σ</m:t>
                              </m:r>
                            </m:den>
                          </m:f>
                          <m:r>
                            <m:t> </m:t>
                          </m:r>
                          <m:r>
                            <m:t> 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for</m:t>
                          </m:r>
                          <m:r>
                            <m:t> </m:t>
                          </m:r>
                          <m:r>
                            <m:t> </m:t>
                          </m:r>
                          <m:r>
                            <m:t>ω</m:t>
                          </m:r>
                          <m:r>
                            <m:t>ε</m:t>
                          </m:r>
                          <m:r>
                            <m:rPr>
                              <m:sty m:val="p"/>
                            </m:rPr>
                            <m:t>≫</m:t>
                          </m:r>
                          <m:r>
                            <m:t>σ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images_new/GPR_probing_distance.jpg</w:t>
            </w:r>
          </w:p>
        </w:tc>
      </w:tr>
    </w:tbl>
    <w:p>
      <w:pPr>
        <w:pStyle w:val="BodyText"/>
      </w:pPr>
      <w:r>
        <w:t xml:space="preserve">On the right we see figures which show probing distances for various materials.</w:t>
      </w:r>
      <w:r>
        <w:t xml:space="preserve"> </w:t>
      </w:r>
      <w:r>
        <w:t xml:space="preserve">Using these figures, we can see that:</w:t>
      </w:r>
    </w:p>
    <w:p>
      <w:pPr>
        <w:pStyle w:val="Compact"/>
        <w:numPr>
          <w:ilvl w:val="0"/>
          <w:numId w:val="1004"/>
        </w:numPr>
      </w:pPr>
      <w:r>
        <w:t xml:space="preserve">In general, as the frequency increases, the skin depth decreases and the probing distance decreases.</w:t>
      </w:r>
    </w:p>
    <w:p>
      <w:pPr>
        <w:pStyle w:val="Compact"/>
        <w:numPr>
          <w:ilvl w:val="0"/>
          <w:numId w:val="1004"/>
        </w:numPr>
      </w:pPr>
      <w:r>
        <w:t xml:space="preserve">Frequencies used for GPR are</w:t>
      </w:r>
      <w:r>
        <w:t xml:space="preserve"> </w:t>
      </w:r>
      <m:oMath>
        <m:r>
          <m:rPr>
            <m:sty m:val="p"/>
          </m:rPr>
          <m:t>∼</m:t>
        </m:r>
      </m:oMath>
      <w:r>
        <w:t xml:space="preserve"> </w:t>
      </w:r>
      <w:r>
        <w:t xml:space="preserve">1 GHz. Therefore, the probing distances for GPR signals are generally quite shallow.</w:t>
      </w:r>
    </w:p>
    <w:p>
      <w:pPr>
        <w:pStyle w:val="Compact"/>
        <w:numPr>
          <w:ilvl w:val="0"/>
          <w:numId w:val="1004"/>
        </w:numPr>
      </w:pPr>
      <w:r>
        <w:t xml:space="preserve">It is very difficult for GPR signals to penetrate concrete and asphalt, as the probing distance is only about 1 m for GPR.</w:t>
      </w:r>
    </w:p>
    <w:p>
      <w:pPr>
        <w:pStyle w:val="Compact"/>
        <w:numPr>
          <w:ilvl w:val="0"/>
          <w:numId w:val="1004"/>
        </w:numPr>
      </w:pPr>
      <w:r>
        <w:t xml:space="preserve">Water saturated sedimentary rocks, such as clays and sandstones, have much lower probing distances than dry sedimentary rocks.</w:t>
      </w:r>
    </w:p>
    <w:p>
      <w:pPr>
        <w:pStyle w:val="Compact"/>
        <w:numPr>
          <w:ilvl w:val="0"/>
          <w:numId w:val="1004"/>
        </w:numPr>
      </w:pPr>
      <w:r>
        <w:t xml:space="preserve">Rocks saturated with sea water have much smaller probing distances than rocks saturated with fresh water.</w:t>
      </w:r>
    </w:p>
    <w:p>
      <w:pPr>
        <w:pStyle w:val="Compact"/>
        <w:numPr>
          <w:ilvl w:val="0"/>
          <w:numId w:val="1004"/>
        </w:numPr>
      </w:pPr>
      <w:r>
        <w:t xml:space="preserve">The probing distances for hard rocks (granites, limestones, schists...) is quite large.</w:t>
      </w:r>
    </w:p>
    <w:bookmarkEnd w:id="31"/>
    <w:bookmarkStart w:id="32" w:name="probing-distance-versus-resolution"/>
    <w:p>
      <w:pPr>
        <w:pStyle w:val="Heading2"/>
      </w:pPr>
      <w:r>
        <w:t xml:space="preserve">Probing Distance versus Resolution</w:t>
      </w:r>
    </w:p>
    <w:p>
      <w:pPr>
        <w:pStyle w:val="FirstParagraph"/>
      </w:pPr>
      <w:r>
        <w:rPr>
          <w:b/>
          <w:bCs/>
        </w:rPr>
        <w:t xml:space="preserve">Radargrams at Several Resolutions (Underground tunnels)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images_new/GPR_resolution_high.jpg</w:t>
            </w:r>
          </w:p>
        </w:tc>
      </w:tr>
    </w:tbl>
    <w:p>
      <w:pPr>
        <w:pStyle w:val="ImageCaption"/>
      </w:pPr>
      <w:r>
        <w:t xml:space="preserve">Higher resolution radargram (200 MHz).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images_new/GPR_resolution_mid.jpg</w:t>
            </w:r>
          </w:p>
        </w:tc>
      </w:tr>
    </w:tbl>
    <w:p>
      <w:pPr>
        <w:pStyle w:val="ImageCaption"/>
      </w:pPr>
      <w:r>
        <w:t xml:space="preserve">Medium resolution radargram (100 MHz).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images_new/GPR_resolution_low.jpg</w:t>
            </w:r>
          </w:p>
        </w:tc>
      </w:tr>
    </w:tbl>
    <w:p>
      <w:pPr>
        <w:pStyle w:val="ImageCaption"/>
      </w:pPr>
      <w:r>
        <w:t xml:space="preserve">Lower resolution radargram (50 MHz).</w:t>
      </w:r>
    </w:p>
    <w:p>
      <w:pPr>
        <w:pStyle w:val="BodyText"/>
      </w:pPr>
      <w:r>
        <w:t xml:space="preserve">On the right we see several radargrams corresponding to data collected over two buried tunnels (hyperbolic features).</w:t>
      </w:r>
      <w:r>
        <w:t xml:space="preserve"> </w:t>
      </w:r>
      <w:r>
        <w:t xml:space="preserve">Each radargram was collected using a different frequency.</w:t>
      </w:r>
    </w:p>
    <w:p>
      <w:pPr>
        <w:pStyle w:val="BodyText"/>
      </w:pPr>
      <w:r>
        <w:t xml:space="preserve">By using a 200 MHz central frequency, we are hoping to obtain a high resolution radargram.</w:t>
      </w:r>
      <w:r>
        <w:t xml:space="preserve"> </w:t>
      </w:r>
      <w:r>
        <w:t xml:space="preserve">However, the attenuation of radiowaves is more severe at higher frequencies.</w:t>
      </w:r>
      <w:r>
        <w:t xml:space="preserve"> </w:t>
      </w:r>
      <w:r>
        <w:t xml:space="preserve">As a result, the GPR signal does not penetrate deep enough to image either of the tunnels.</w:t>
      </w:r>
      <w:r>
        <w:t xml:space="preserve"> </w:t>
      </w:r>
      <w:r>
        <w:t xml:space="preserve">At 100 MHz, both tunnels become partially visible in the radargram (hyperbolic signatures).</w:t>
      </w:r>
      <w:r>
        <w:t xml:space="preserve"> </w:t>
      </w:r>
      <w:r>
        <w:t xml:space="preserve">This is made possible because because the probing distance is larger.</w:t>
      </w:r>
      <w:r>
        <w:t xml:space="preserve"> </w:t>
      </w:r>
      <w:r>
        <w:t xml:space="preserve">In the 50MHz radargram, both tunnels are easily recognizable.</w:t>
      </w:r>
      <w:r>
        <w:t xml:space="preserve"> </w:t>
      </w:r>
      <w:r>
        <w:t xml:space="preserve">This is made possible because the probing distance is now large enough.</w:t>
      </w:r>
      <w:r>
        <w:t xml:space="preserve"> </w:t>
      </w:r>
      <w:r>
        <w:t xml:space="preserve">Notice however, that the hyperbolic features in the radargram are slightly less distinct.</w:t>
      </w:r>
    </w:p>
    <w:p>
      <w:pPr>
        <w:pStyle w:val="BodyText"/>
      </w:pPr>
      <w:r>
        <w:t xml:space="preserve">We can see from this example that there is a compromise between resolution and probing distance.</w:t>
      </w:r>
      <w:r>
        <w:t xml:space="preserve"> </w:t>
      </w:r>
      <w:r>
        <w:t xml:space="preserve">It is important to choose a frequency which is high enough to image sufficient small features.</w:t>
      </w:r>
      <w:r>
        <w:t xml:space="preserve"> </w:t>
      </w:r>
      <w:r>
        <w:t xml:space="preserve">However, the probing distance of the background medium must be large enough to obtain a return signal.</w:t>
      </w:r>
    </w:p>
    <w:bookmarkEnd w:id="32"/>
    <w:bookmarkEnd w:id="33"/>
    <w:bookmarkStart w:id="34" w:name="gpr-and-sources-of-noise"/>
    <w:p>
      <w:pPr>
        <w:pStyle w:val="Heading1"/>
      </w:pPr>
      <w:r>
        <w:t xml:space="preserve">GPR and Sources of Noise</w:t>
      </w:r>
    </w:p>
    <w:p>
      <w:pPr>
        <w:pStyle w:val="FirstParagraph"/>
      </w:pPr>
      <w:r>
        <w:t xml:space="preserve">Noise is used to describe any measured signal which does not correspond to signals from desired targets.</w:t>
      </w:r>
      <w:r>
        <w:t xml:space="preserve"> </w:t>
      </w:r>
      <w:r>
        <w:t xml:space="preserve">When the sources of noise are sufficiently large, it can be difficult to identify and classify signals in radargrams.</w:t>
      </w:r>
      <w:r>
        <w:t xml:space="preserve"> </w:t>
      </w:r>
      <w:r>
        <w:t xml:space="preserve">That is why it is necessary to take steps which minimize the impact of external noise sources on the data.</w:t>
      </w:r>
      <w:r>
        <w:t xml:space="preserve"> </w:t>
      </w:r>
      <w:r>
        <w:t xml:space="preserve">Below are some sources of noise relevant to GPR and their impact.</w:t>
      </w:r>
    </w:p>
    <w:p>
      <w:pPr>
        <w:pStyle w:val="BodyText"/>
      </w:pPr>
      <w:r>
        <w:rPr>
          <w:b/>
          <w:bCs/>
        </w:rPr>
        <w:t xml:space="preserve">Radiowaves from Other Sources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images_new/GPR_noise_sheild.jpg</w:t>
            </w:r>
          </w:p>
        </w:tc>
      </w:tr>
    </w:tbl>
    <w:p>
      <w:pPr>
        <w:pStyle w:val="BodyText"/>
      </w:pPr>
      <w:r>
        <w:t xml:space="preserve">Much of 21st century communication is made possible with radiowaves.</w:t>
      </w:r>
      <w:r>
        <w:t xml:space="preserve"> </w:t>
      </w:r>
      <w:r>
        <w:t xml:space="preserve">Cellular phones, radio towers and other transmitting systems all use radiowave frequencies to transmit information through the air.</w:t>
      </w:r>
      <w:r>
        <w:t xml:space="preserve"> </w:t>
      </w:r>
      <w:r>
        <w:t xml:space="preserve">These signals can be measured by the receiver and have the potential to mask responses from desired targets.</w:t>
      </w:r>
      <w:r>
        <w:t xml:space="preserve"> </w:t>
      </w:r>
      <w:r>
        <w:t xml:space="preserve">To limit the effects of external sources, the transmitter and receiver are frequently protected by a shield (as depicted in the image).</w:t>
      </w:r>
    </w:p>
    <w:p>
      <w:pPr>
        <w:pStyle w:val="BodyText"/>
      </w:pPr>
      <w:r>
        <w:rPr>
          <w:b/>
          <w:bCs/>
        </w:rPr>
        <w:t xml:space="preserve">Returning Signals from Above-Ground Objects</w:t>
      </w:r>
    </w:p>
    <w:p>
      <w:pPr>
        <w:pStyle w:val="BodyText"/>
      </w:pPr>
      <w:r>
        <w:t xml:space="preserve">GPR is used to gain information about structures below the Earth.</w:t>
      </w:r>
      <w:r>
        <w:t xml:space="preserve"> </w:t>
      </w:r>
      <w:r>
        <w:t xml:space="preserve">However, since radiowaves propagate through the air, it is possible to measure returning signals from nearby objects as well.</w:t>
      </w:r>
      <w:r>
        <w:t xml:space="preserve"> </w:t>
      </w:r>
      <w:r>
        <w:t xml:space="preserve">This is common in urban and wooded environments where GPR signals can reflect off of buildings and trees.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images_new/GPR_noise_trees.jpg</w:t>
            </w:r>
          </w:p>
        </w:tc>
      </w:tr>
    </w:tbl>
    <w:p>
      <w:pPr>
        <w:pStyle w:val="BodyText"/>
      </w:pPr>
      <w:r>
        <w:t xml:space="preserve">On the right, we see an example of a radargram for a zero-offset configuration.</w:t>
      </w:r>
      <w:r>
        <w:t xml:space="preserve"> </w:t>
      </w:r>
      <w:r>
        <w:t xml:space="preserve">The survey was performed in a wooded area without using a shield.</w:t>
      </w:r>
      <w:r>
        <w:t xml:space="preserve"> </w:t>
      </w:r>
      <w:r>
        <w:t xml:space="preserve">Because the trees acts as point reflectors, they produce hyperbolic signatures in the radargram.</w:t>
      </w:r>
      <w:r>
        <w:t xml:space="preserve"> </w:t>
      </w:r>
      <w:r>
        <w:t xml:space="preserve">Using the slope on either end of the hyperbola, we find that the propagation velocity associated with this reflection is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c</m:t>
        </m:r>
      </m:oMath>
      <w:r>
        <w:t xml:space="preserve">; this is demonstrated with a line.</w:t>
      </w:r>
      <w:r>
        <w:t xml:space="preserve"> </w:t>
      </w:r>
      <w:r>
        <w:t xml:space="preserve">This verifies that the signature must correspond to an object which is above the ground.</w:t>
      </w:r>
      <w:r>
        <w:t xml:space="preserve"> </w:t>
      </w:r>
      <w:r>
        <w:t xml:space="preserve">And we can infer that signatures after 100 ns correspond to nearby trees.</w:t>
      </w:r>
    </w:p>
    <w:p>
      <w:pPr>
        <w:pStyle w:val="BodyText"/>
      </w:pPr>
      <w:r>
        <w:t xml:space="preserve">Below, we show the two-way travel path for reflected signals off a tree and a building.</w:t>
      </w:r>
      <w:r>
        <w:t xml:space="preserve"> </w:t>
      </w:r>
      <w:r>
        <w:t xml:space="preserve">A diagram showing the different radargram signatures for both the tree and the building is also provided.</w:t>
      </w:r>
      <w:r>
        <w:t xml:space="preserve"> </w:t>
      </w:r>
      <w:r>
        <w:t xml:space="preserve">Unlike the tree, the face of the building is not a point reflector.</w:t>
      </w:r>
      <w:r>
        <w:t xml:space="preserve"> </w:t>
      </w:r>
      <w:r>
        <w:t xml:space="preserve">However, the ends of the signature corresponding to the building also have slopes which are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c</m:t>
        </m:r>
      </m:oMath>
      <w:r>
        <w:t xml:space="preserve">.</w:t>
      </w:r>
      <w:r>
        <w:t xml:space="preserve"> </w:t>
      </w:r>
      <w:r>
        <w:t xml:space="preserve">Thus, we can infer the propagation velocity.</w:t>
      </w:r>
    </w:p>
    <w:p>
      <w:pPr>
        <w:pStyle w:val="BodyText"/>
      </w:pPr>
      <w:r>
        <w:t xml:space="preserve">To avoid measuring signals such as these, shields may also be used on the transmitter and receiver.</w:t>
      </w:r>
      <w:r>
        <w:t xml:space="preserve"> </w:t>
      </w:r>
      <w:r>
        <w:t xml:space="preserve">However, if signals from above ground objects are present in the radargram, they can be be identified for zero-offset configurations by their slope.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images_new/GPR_above_ground_objects.png</w:t>
            </w:r>
          </w:p>
        </w:tc>
      </w:tr>
    </w:tbl>
    <w:p>
      <w:pPr>
        <w:pStyle w:val="BodyText"/>
      </w:pPr>
      <w:r>
        <w:rPr>
          <w:b/>
          <w:bCs/>
        </w:rPr>
        <w:t xml:space="preserve">Ringing</w:t>
      </w:r>
    </w:p>
    <w:p>
      <w:pPr>
        <w:pStyle w:val="BodyText"/>
      </w:pPr>
      <w:r>
        <w:t xml:space="preserve">Ringing occurs when radiowave signals reverberate in regular fashion.</w:t>
      </w:r>
      <w:r>
        <w:t xml:space="preserve"> </w:t>
      </w:r>
      <w:r>
        <w:t xml:space="preserve">This is created when GPR signals repeatedly bounce within or between nearby objects.</w:t>
      </w:r>
      <w:r>
        <w:t xml:space="preserve"> </w:t>
      </w:r>
      <w:r>
        <w:t xml:space="preserve">In response to ringing, the returning signal from a particular interface(s) is not 'sharp' in the radargram.</w:t>
      </w:r>
      <w:r>
        <w:t xml:space="preserve"> </w:t>
      </w:r>
      <w:r>
        <w:t xml:space="preserve">Instead, it becomes present over all times.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images_new/GPR_wire_surface.png</w:t>
            </w:r>
          </w:p>
        </w:tc>
      </w:tr>
    </w:tbl>
    <w:p>
      <w:pPr>
        <w:pStyle w:val="BodyText"/>
      </w:pPr>
      <w:r>
        <w:rPr>
          <w:b/>
          <w:bCs/>
        </w:rPr>
        <w:t xml:space="preserve">Noise from Scattering</w:t>
      </w:r>
    </w:p>
    <w:p>
      <w:pPr>
        <w:pStyle w:val="BodyText"/>
      </w:pPr>
      <w:r>
        <w:t xml:space="preserve">As we mentioned earlier, scattering is used to describe deviations in the paths of electromagnetic waves due to localized non-uniformities; which are less than 1/4 the wavelength of the radiowave signal.</w:t>
      </w:r>
      <w:r>
        <w:t xml:space="preserve"> </w:t>
      </w:r>
      <w:r>
        <w:t xml:space="preserve">Scattering is problematic for GPR because it reduces the amplitudes of useful signals while increasing extraneous noise.</w:t>
      </w:r>
      <w:r>
        <w:t xml:space="preserve"> </w:t>
      </w:r>
      <w:r>
        <w:t xml:space="preserve">If the Earth is made up of homogeneous units, scattering is negligible and returning GPR signals are easily visible.</w:t>
      </w:r>
      <w:r>
        <w:t xml:space="preserve"> </w:t>
      </w:r>
      <w:r>
        <w:t xml:space="preserve">If the Earth is very inhomogeneous, the effects of scattering may produce significant extraneous noise.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images_new/GPR_scattering_examples.png</w:t>
            </w:r>
          </w:p>
        </w:tc>
      </w:tr>
    </w:tbl>
    <w:p>
      <w:pPr>
        <w:pStyle w:val="BodyText"/>
      </w:pPr>
      <w:r>
        <w:t xml:space="preserve">Below, we show a representation of data from a single Tx-Rx shot.</w:t>
      </w:r>
      <w:r>
        <w:t xml:space="preserve"> </w:t>
      </w:r>
      <w:r>
        <w:t xml:space="preserve">On the left, scattering is negligible and the returning wavelet is easily visible.</w:t>
      </w:r>
      <w:r>
        <w:t xml:space="preserve"> </w:t>
      </w:r>
      <w:r>
        <w:t xml:space="preserve">On the right, the returning wavelet is hard to see due to incoherent noise cause by scattering.</w:t>
      </w:r>
      <w:r>
        <w:t xml:space="preserve"> </w:t>
      </w:r>
      <w:r>
        <w:t xml:space="preserve">In addition, we see that the amplitude of the returning wavelet signal is less, as scattering resulted in a loss in amplitude.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images_new/GPR_scattering_return_signal.png</w:t>
            </w:r>
          </w:p>
        </w:tc>
      </w:tr>
    </w:tbl>
    <w:p>
      <w:pPr>
        <w:pStyle w:val="ImageCaption"/>
      </w:pPr>
      <w:r>
        <w:t xml:space="preserve">Return signals with different levels of scattering noise (Left) Minimal noise. (Right) Significant scattering noise.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mons.wikimedia.org/wiki/File:Electromagneticwave3D.gi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mons.wikimedia.org/wiki/File:Electromagneticwave3D.gi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and Data</dc:title>
  <dc:creator/>
  <cp:keywords/>
  <dcterms:created xsi:type="dcterms:W3CDTF">2025-01-16T09:29:00Z</dcterms:created>
  <dcterms:modified xsi:type="dcterms:W3CDTF">2025-01-16T09:29:00Z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