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Frequency Domain Data</w:t>
      </w:r>
    </w:p>
    <w:bookmarkStart w:id="20" w:name="nature-of-the-total-field"/>
    <w:p>
      <w:pPr>
        <w:pStyle w:val="Heading1"/>
      </w:pPr>
      <w:r>
        <w:t xml:space="preserve">Nature of the total field</w:t>
      </w:r>
    </w:p>
    <w:p>
      <w:pPr>
        <w:pStyle w:val="FirstParagraph"/>
      </w:pPr>
      <w:r>
        <w:t xml:space="preserve">Consider a frequency domain source. This could be a loop on the ground or in</w:t>
      </w:r>
      <w:r>
        <w:t xml:space="preserve"> </w:t>
      </w:r>
      <w:r>
        <w:t xml:space="preserve">the air.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./images/FrequencyDomainData.png</w:t>
            </w:r>
          </w:p>
        </w:tc>
      </w:tr>
    </w:tbl>
    <w:p>
      <w:pPr>
        <w:pStyle w:val="Compact"/>
        <w:numPr>
          <w:ilvl w:val="0"/>
          <w:numId w:val="1001"/>
        </w:numPr>
      </w:pPr>
      <w:r>
        <w:t xml:space="preserve">The primary field is harmonic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t>t</m:t>
            </m:r>
          </m:e>
        </m:d>
      </m:oMath>
      <w:r>
        <w:t xml:space="preserve">. At the receiver, the</w:t>
      </w:r>
      <w:r>
        <w:t xml:space="preserve"> </w:t>
      </w:r>
      <w:r>
        <w:t xml:space="preserve">primary field can be written as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H</m:t>
                </m:r>
              </m:e>
            </m:acc>
          </m:e>
          <m:sub>
            <m:r>
              <m:t>p</m:t>
            </m:r>
          </m:sub>
        </m:sSub>
        <m:r>
          <m:rPr>
            <m:sty m:val="p"/>
          </m:rPr>
          <m:t>cos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t>t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currents induced in the conductor will also be harmonic with the same</w:t>
      </w:r>
      <w:r>
        <w:t xml:space="preserve"> </w:t>
      </w:r>
      <w:r>
        <w:t xml:space="preserve">frequency</w:t>
      </w:r>
      <w:r>
        <w:t xml:space="preserve"> </w:t>
      </w:r>
      <m:oMath>
        <m:r>
          <m:t>ω</m:t>
        </m:r>
      </m:oMath>
      <w:r>
        <w:t xml:space="preserve">. They will, however, have a different phase. The</w:t>
      </w:r>
      <w:r>
        <w:t xml:space="preserve"> </w:t>
      </w:r>
      <w:r>
        <w:t xml:space="preserve">resultant secondary field from these currents must also have the same</w:t>
      </w:r>
      <w:r>
        <w:t xml:space="preserve"> </w:t>
      </w:r>
      <w:r>
        <w:t xml:space="preserve">frequency dependence. Hence, the secondary field can be written as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H</m:t>
                </m:r>
              </m:e>
            </m:acc>
          </m:e>
          <m:sub>
            <m:r>
              <m:t>s</m:t>
            </m:r>
          </m:sub>
        </m:sSub>
        <m:r>
          <m:rPr>
            <m:sty m:val="p"/>
          </m:rPr>
          <m:t>cos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t>t</m:t>
            </m:r>
            <m:r>
              <m:rPr>
                <m:sty m:val="p"/>
              </m:rPr>
              <m:t>+</m:t>
            </m:r>
            <m:r>
              <m:t>ψ</m:t>
            </m:r>
          </m:e>
        </m:d>
      </m:oMath>
      <w:r>
        <w:t xml:space="preserve">, where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is a phase angle.</w:t>
      </w:r>
    </w:p>
    <w:p>
      <w:pPr>
        <w:pStyle w:val="FirstParagraph"/>
      </w:pPr>
      <w:r>
        <w:t xml:space="preserve">At the receiver, we observe the sum of the primary and secondary fields, which</w:t>
      </w:r>
      <w:r>
        <w:t xml:space="preserve"> </w:t>
      </w:r>
      <w:r>
        <w:t xml:space="preserve">is given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H</m:t>
                  </m:r>
                </m:e>
              </m:acc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⃗"/>
                </m:accPr>
                <m:e>
                  <m:r>
                    <m:t>H</m:t>
                  </m:r>
                </m:e>
              </m:acc>
            </m:e>
            <m:sub>
              <m:r>
                <m:t>p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acc>
                <m:accPr>
                  <m:chr m:val="⃗"/>
                </m:accPr>
                <m:e>
                  <m:r>
                    <m:t>H</m:t>
                  </m:r>
                </m:e>
              </m:acc>
            </m:e>
            <m:sub>
              <m:r>
                <m:t>s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ψ</m:t>
              </m:r>
            </m:e>
          </m:d>
        </m:oMath>
      </m:oMathPara>
    </w:p>
    <w:bookmarkEnd w:id="20"/>
    <w:bookmarkStart w:id="21" w:name="the-phase-of-the-secondary-field"/>
    <w:p>
      <w:pPr>
        <w:pStyle w:val="Heading1"/>
      </w:pPr>
      <w:r>
        <w:t xml:space="preserve">The Phase of the Secondary Field</w:t>
      </w:r>
    </w:p>
    <w:p>
      <w:pPr>
        <w:pStyle w:val="FirstParagraph"/>
      </w:pPr>
      <w:r>
        <w:t xml:space="preserve">If the primary field is harmonic with frequency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then the</w:t>
      </w:r>
      <w:r>
        <w:t xml:space="preserve"> </w:t>
      </w:r>
      <w:r>
        <w:t xml:space="preserve">secondary field is also harmonic. The secondary field will have a different</w:t>
      </w:r>
      <w:r>
        <w:t xml:space="preserve"> </w:t>
      </w:r>
      <w:r>
        <w:t xml:space="preserve">phase than the primary; it will lag the primary field by angles between 90°</w:t>
      </w:r>
      <w:r>
        <w:t xml:space="preserve"> </w:t>
      </w:r>
      <w:r>
        <w:t xml:space="preserve">and 180°. The amount of phase difference is diagnostic of the conductivity of</w:t>
      </w:r>
      <w:r>
        <w:t xml:space="preserve"> </w:t>
      </w:r>
      <w:r>
        <w:t xml:space="preserve">the body.</w:t>
      </w:r>
    </w:p>
    <w:p>
      <w:pPr>
        <w:pStyle w:val="Compact"/>
        <w:numPr>
          <w:ilvl w:val="0"/>
          <w:numId w:val="1002"/>
        </w:numPr>
      </w:pPr>
      <w:r>
        <w:t xml:space="preserve">The primary current varies as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t>t</m:t>
            </m:r>
          </m:e>
        </m:d>
      </m:oMath>
      <w:r>
        <w:t xml:space="preserve"> </w:t>
      </w:r>
      <w:r>
        <w:t xml:space="preserve">and hence the primary</w:t>
      </w:r>
      <w:r>
        <w:t xml:space="preserve"> </w:t>
      </w:r>
      <w:r>
        <w:t xml:space="preserve">magnetic field also has this same dependence. (The primary field is in-phase</w:t>
      </w:r>
      <w:r>
        <w:t xml:space="preserve"> </w:t>
      </w:r>
      <w:r>
        <w:t xml:space="preserve">with the current).</w:t>
      </w:r>
    </w:p>
    <w:p>
      <w:pPr>
        <w:pStyle w:val="Compact"/>
        <w:numPr>
          <w:ilvl w:val="0"/>
          <w:numId w:val="1002"/>
        </w:numPr>
      </w:pPr>
      <w:r>
        <w:t xml:space="preserve">At the conductive body the EMF (induced voltage) is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E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ϕ</m:t>
                  </m:r>
                </m:e>
                <m:sub>
                  <m:r>
                    <m:t>B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If the primary current varies as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t>t</m:t>
            </m:r>
          </m:e>
        </m:d>
      </m:oMath>
      <w:r>
        <w:t xml:space="preserve"> </w:t>
      </w:r>
      <w:r>
        <w:t xml:space="preserve">then the flux,</w:t>
      </w:r>
      <w:r>
        <w:t xml:space="preserve"> </w:t>
      </w:r>
      <m:oMath>
        <m:sSub>
          <m:e>
            <m:r>
              <m:t>ϕ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also varies as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t>t</m:t>
            </m:r>
          </m:e>
        </m:d>
      </m:oMath>
      <w:r>
        <w:t xml:space="preserve">, while</w:t>
      </w:r>
      <w:r>
        <w:t xml:space="preserve"> </w:t>
      </w:r>
      <m:oMath>
        <m:r>
          <m:rPr>
            <m:sty m:val="p"/>
            <m:scr m:val="script"/>
          </m:rPr>
          <m:t>E</m:t>
        </m:r>
      </m:oMath>
      <w:r>
        <w:t xml:space="preserve"> </w:t>
      </w:r>
      <w:r>
        <w:t xml:space="preserve">varies with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t>t</m:t>
            </m:r>
          </m:e>
        </m:d>
      </m:oMath>
      <w:r>
        <w:t xml:space="preserve">. That is, the EMF lags the primary by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body in which the induction is occurring can be represented as a</w:t>
      </w:r>
      <w:r>
        <w:t xml:space="preserve"> </w:t>
      </w:r>
      <w:r>
        <w:t xml:space="preserve">circuit element with self-inductance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and a resistance</w:t>
      </w:r>
      <w:r>
        <w:t xml:space="preserve"> </w:t>
      </w:r>
      <m:oMath>
        <m:r>
          <m:t>R</m:t>
        </m:r>
      </m:oMath>
      <w:r>
        <w:t xml:space="preserve">. Through</w:t>
      </w:r>
      <w:r>
        <w:t xml:space="preserve"> </w:t>
      </w:r>
      <w:r>
        <w:t xml:space="preserve">the laws of electromagnetic induction, the time varying currents that are set</w:t>
      </w:r>
      <w:r>
        <w:t xml:space="preserve"> </w:t>
      </w:r>
      <w:r>
        <w:t xml:space="preserve">up in the conductor suffer a further lag</w:t>
      </w:r>
    </w:p>
    <w:p>
      <w:pPr>
        <w:pStyle w:val="FirstParagraph"/>
      </w:pPr>
      <m:oMathPara>
        <m:oMathParaPr>
          <m:jc m:val="center"/>
        </m:oMathParaPr>
        <m:oMath>
          <m:r>
            <m:t>ϕ</m:t>
          </m:r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tan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ω</m:t>
                  </m:r>
                  <m:r>
                    <m:t>L</m:t>
                  </m:r>
                </m:num>
                <m:den>
                  <m:r>
                    <m:t>R</m:t>
                  </m:r>
                </m:den>
              </m:f>
            </m:e>
          </m:d>
        </m:oMath>
      </m:oMathPara>
    </w:p>
    <w:p>
      <w:pPr>
        <w:pStyle w:val="Compact"/>
        <w:numPr>
          <w:ilvl w:val="0"/>
          <w:numId w:val="1004"/>
        </w:numPr>
      </w:pPr>
      <w:r>
        <w:t xml:space="preserve">As a result the secondary field lags the primary by a total amount</w:t>
      </w:r>
    </w:p>
    <w:p>
      <w:pPr>
        <w:pStyle w:val="FirstParagraph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tan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ω</m:t>
                  </m:r>
                  <m:r>
                    <m:t>L</m:t>
                  </m:r>
                </m:num>
                <m:den>
                  <m:r>
                    <m:t>R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Note:</w:t>
      </w:r>
    </w:p>
    <w:p>
      <w:pPr>
        <w:pStyle w:val="Compact"/>
        <w:numPr>
          <w:ilvl w:val="0"/>
          <w:numId w:val="1005"/>
        </w:numPr>
      </w:pPr>
      <w:r>
        <w:t xml:space="preserve">For a resistive body (or for very low frequency)</w:t>
      </w:r>
      <w:r>
        <w:t xml:space="preserve"> </w:t>
      </w:r>
      <m:oMath>
        <m:r>
          <m:t>ϕ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so the secondary field is only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out of phase with the primary</w:t>
      </w:r>
      <w:r>
        <w:t xml:space="preserve"> </w:t>
      </w:r>
      <w:r>
        <w:t xml:space="preserve">field. The response from a weak conductor will be in the out-of-phase</w:t>
      </w:r>
      <w:r>
        <w:t xml:space="preserve"> </w:t>
      </w:r>
      <w:r>
        <w:t xml:space="preserve">component of the measured signal.</w:t>
      </w:r>
    </w:p>
    <w:p>
      <w:pPr>
        <w:pStyle w:val="Compact"/>
        <w:numPr>
          <w:ilvl w:val="0"/>
          <w:numId w:val="1005"/>
        </w:numPr>
      </w:pPr>
      <w:r>
        <w:t xml:space="preserve">For very conductive bodies (or for very high frequency) the secondary field</w:t>
      </w:r>
      <w:r>
        <w:t xml:space="preserve"> </w:t>
      </w:r>
      <w:r>
        <w:t xml:space="preserve">becomes nearly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(180°) out of phase with the primary. Since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t>t</m:t>
            </m:r>
            <m:r>
              <m:rPr>
                <m:sty m:val="p"/>
              </m:rPr>
              <m:t>+</m:t>
            </m:r>
            <m:r>
              <m:t>π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t>t</m:t>
            </m:r>
          </m:e>
        </m:d>
      </m:oMath>
      <w:r>
        <w:t xml:space="preserve">, the response due to a good</w:t>
      </w:r>
      <w:r>
        <w:t xml:space="preserve"> </w:t>
      </w:r>
      <w:r>
        <w:t xml:space="preserve">conductor will be in phase with the primary but reversed in sign.</w:t>
      </w:r>
    </w:p>
    <w:bookmarkEnd w:id="21"/>
    <w:bookmarkStart w:id="23" w:name="measurement-of-secondary-fields"/>
    <w:p>
      <w:pPr>
        <w:pStyle w:val="Heading1"/>
      </w:pPr>
      <w:r>
        <w:t xml:space="preserve">Measurement of Secondary Fields</w:t>
      </w:r>
    </w:p>
    <w:p>
      <w:pPr>
        <w:pStyle w:val="FirstParagraph"/>
      </w:pPr>
      <w:r>
        <w:t xml:space="preserve">The easiest quantity to measure is some component of the total field. However, from an</w:t>
      </w:r>
      <w:r>
        <w:t xml:space="preserve"> </w:t>
      </w:r>
      <w:r>
        <w:t xml:space="preserve">interpretation viewpoint, we are interested in the secondary field</w:t>
      </w:r>
      <w:r>
        <w:t xml:space="preserve"> </w:t>
      </w:r>
      <w:r>
        <w:t xml:space="preserve">produced by the body. Unfortunately the primary field is generally very much</w:t>
      </w:r>
      <w:r>
        <w:t xml:space="preserve"> </w:t>
      </w:r>
      <w:r>
        <w:t xml:space="preserve">larger than the secondary field and hence if we measure their sum then we are</w:t>
      </w:r>
      <w:r>
        <w:t xml:space="preserve"> </w:t>
      </w:r>
      <w:r>
        <w:t xml:space="preserve">faced with finding, and interpreting, a small signal in the presence of a</w:t>
      </w:r>
      <w:r>
        <w:t xml:space="preserve"> </w:t>
      </w:r>
      <w:r>
        <w:t xml:space="preserve">large signal. It would be more advantageous to measure the secondary field</w:t>
      </w:r>
      <w:r>
        <w:t xml:space="preserve"> </w:t>
      </w:r>
      <w:r>
        <w:t xml:space="preserve">directly. This can be done in two ways:</w:t>
      </w:r>
    </w:p>
    <w:p>
      <w:pPr>
        <w:pStyle w:val="Compact"/>
        <w:numPr>
          <w:ilvl w:val="0"/>
          <w:numId w:val="1006"/>
        </w:numPr>
      </w:pPr>
      <w:r>
        <w:t xml:space="preserve">One can have a "</w:t>
      </w:r>
      <w:r>
        <w:rPr>
          <w:rStyle w:val="VerbatimChar"/>
        </w:rPr>
        <w:t xml:space="preserve">bucking" coil&lt;electromagnetic_bucking_coil&gt;</w:t>
      </w:r>
      <w:r>
        <w:t xml:space="preserve"> </w:t>
      </w:r>
      <w:r>
        <w:t xml:space="preserve">or "compensator" that provides a magnetic</w:t>
      </w:r>
      <w:r>
        <w:t xml:space="preserve"> </w:t>
      </w:r>
      <w:r>
        <w:t xml:space="preserve">field at the receiver, which has the same amplitude and phase as the primary</w:t>
      </w:r>
      <w:r>
        <w:t xml:space="preserve"> </w:t>
      </w:r>
      <w:r>
        <w:t xml:space="preserve">field but is in the opposite direction. As a result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H</m:t>
                </m:r>
              </m:e>
            </m:acc>
          </m:e>
          <m:sub>
            <m:r>
              <m:t>p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annihilated at the receiver, (eg. aircraft systems. Lab systems, EM-31).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./images/BuckingCoil_Altitude.png</w:t>
            </w:r>
          </w:p>
        </w:tc>
      </w:tr>
    </w:tbl>
    <w:p>
      <w:pPr>
        <w:pStyle w:val="Compact"/>
        <w:numPr>
          <w:ilvl w:val="0"/>
          <w:numId w:val="1007"/>
        </w:numPr>
      </w:pPr>
      <w:r>
        <w:t xml:space="preserve">There can be a direct link between the transmitter and receiver through a</w:t>
      </w:r>
      <w:r>
        <w:t xml:space="preserve"> </w:t>
      </w:r>
      <w:r>
        <w:t xml:space="preserve">connecting cable. This allows for a phase reference and hence the field,</w:t>
      </w:r>
      <w:r>
        <w:t xml:space="preserve"> </w:t>
      </w:r>
      <w:r>
        <w:t xml:space="preserve">which is adjusted for amplitude loss due to geometrical spreading, can be subtracted</w:t>
      </w:r>
      <w:r>
        <w:t xml:space="preserve"> </w:t>
      </w:r>
      <w:r>
        <w:t xml:space="preserve">from the measured signal.</w:t>
      </w:r>
    </w:p>
    <w:bookmarkStart w:id="22" w:name="in-phase-and-quadrature-phase"/>
    <w:p>
      <w:pPr>
        <w:pStyle w:val="Heading2"/>
      </w:pPr>
      <w:r>
        <w:t xml:space="preserve">In-Phase and Quadrature Phase</w:t>
      </w:r>
    </w:p>
    <w:p>
      <w:pPr>
        <w:pStyle w:val="FirstParagraph"/>
      </w:pPr>
      <w:r>
        <w:t xml:space="preserve">With the removal of the primary field the reading at the receiver pertains to</w:t>
      </w:r>
      <w:r>
        <w:t xml:space="preserve"> </w:t>
      </w:r>
      <w:r>
        <w:t xml:space="preserve">the secondary field. What is generally presented as data is the ratio of the</w:t>
      </w:r>
      <w:r>
        <w:t xml:space="preserve"> </w:t>
      </w:r>
      <w:r>
        <w:t xml:space="preserve">secondary field to primary field for a particular component of the field.</w:t>
      </w:r>
      <w:r>
        <w:t xml:space="preserve"> </w:t>
      </w:r>
      <w:r>
        <w:t xml:space="preserve">(Remember that data could be magnetic fields measured with a magnetometer or</w:t>
      </w:r>
      <w:r>
        <w:t xml:space="preserve"> </w:t>
      </w:r>
      <w:r>
        <w:t xml:space="preserve">voltages measured with a coil.) The data will be ratio of the secondary field</w:t>
      </w:r>
      <w:r>
        <w:t xml:space="preserve"> </w:t>
      </w:r>
      <w:r>
        <w:t xml:space="preserve">to the primary field. Let the primary field be</w:t>
      </w:r>
      <w:r>
        <w:t xml:space="preserve"> </w:t>
      </w:r>
      <m:oMath>
        <m:sSub>
          <m:e>
            <m:r>
              <m:t>H</m:t>
            </m:r>
          </m:e>
          <m:sub>
            <m:r>
              <m:t>p</m:t>
            </m:r>
          </m:sub>
        </m:sSub>
        <m:r>
          <m:rPr>
            <m:sty m:val="p"/>
          </m:rPr>
          <m:t>cos</m:t>
        </m:r>
        <m:r>
          <m:rPr>
            <m:sty m:val="p"/>
          </m:rPr>
          <m:t>(</m:t>
        </m:r>
        <m:r>
          <m:t>ω</m:t>
        </m:r>
        <m:r>
          <m:t>t</m:t>
        </m:r>
      </m:oMath>
      <w:r>
        <w:t xml:space="preserve">).</w:t>
      </w:r>
      <w:r>
        <w:t xml:space="preserve"> </w:t>
      </w:r>
      <w:r>
        <w:t xml:space="preserve">The secondary field is</w:t>
      </w:r>
      <w:r>
        <w:t xml:space="preserve"> </w:t>
      </w:r>
      <m:oMath>
        <m:sSub>
          <m:e>
            <m:r>
              <m:t>H</m:t>
            </m:r>
          </m:e>
          <m:sub>
            <m:r>
              <m:t>s</m:t>
            </m:r>
          </m:sub>
        </m:sSub>
        <m:r>
          <m:rPr>
            <m:sty m:val="p"/>
          </m:rPr>
          <m:t>cos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t>t</m:t>
            </m:r>
            <m:r>
              <m:rPr>
                <m:sty m:val="p"/>
              </m:rPr>
              <m:t>+</m:t>
            </m:r>
            <m:r>
              <m:t>ψ</m:t>
            </m:r>
          </m:e>
        </m:d>
      </m:oMath>
      <w:r>
        <w:t xml:space="preserve"> </w:t>
      </w:r>
      <w:r>
        <w:t xml:space="preserve">and can be written</w:t>
      </w:r>
      <w:r>
        <w:t xml:space="preserve"> </w:t>
      </w: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ω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H</m:t>
                    </m:r>
                  </m:e>
                  <m:sub>
                    <m:r>
                      <m:t>s</m:t>
                    </m:r>
                  </m:sub>
                </m:sSub>
                <m:d>
                  <m:dPr>
                    <m:begChr m:val="["/>
                    <m:sepChr m:val=""/>
                    <m:endChr m:val="]"/>
                    <m:grow/>
                  </m:dPr>
                  <m:e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ω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ψ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ω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ψ</m:t>
                        </m:r>
                      </m:e>
                    </m:d>
                  </m:e>
                </m:d>
              </m:e>
            </m:mr>
            <m:mr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sepChr m:val=""/>
                    <m:endChr m:val="]"/>
                    <m:grow/>
                  </m:dP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ψ</m:t>
                        </m:r>
                      </m:e>
                    </m:d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ω</m:t>
                    </m:r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sepChr m:val=""/>
                    <m:endChr m:val="]"/>
                    <m:grow/>
                  </m:dP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ψ</m:t>
                        </m:r>
                      </m:e>
                    </m:d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ω</m:t>
                    </m:r>
                    <m:r>
                      <m:t>t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first term has the same phase as the primary field and is referred to as</w:t>
      </w:r>
      <w:r>
        <w:t xml:space="preserve"> </w:t>
      </w:r>
      <w:r>
        <w:t xml:space="preserve">the "in-phase" response. This is also sometimes referred to as the "real" part</w:t>
      </w:r>
      <w:r>
        <w:t xml:space="preserve"> </w:t>
      </w:r>
      <w:r>
        <w:t xml:space="preserve">of the response. Such terminology is used due to derivations are made in terms of</w:t>
      </w:r>
      <w:r>
        <w:t xml:space="preserve"> </w:t>
      </w:r>
      <w:r>
        <w:t xml:space="preserve">complex quantities.</w:t>
      </w:r>
    </w:p>
    <w:p>
      <w:pPr>
        <w:pStyle w:val="BodyText"/>
      </w:pPr>
      <w:r>
        <w:t xml:space="preserve">In-phase: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H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cos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ψ</m:t>
                  </m:r>
                </m:e>
              </m:d>
            </m:num>
            <m:den>
              <m:sSub>
                <m:e>
                  <m:r>
                    <m:t>H</m:t>
                  </m:r>
                </m:e>
                <m:sub>
                  <m:r>
                    <m:t>p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The second term is the "out-of-phase" part or quadrature phase.</w:t>
      </w:r>
    </w:p>
    <w:p>
      <w:pPr>
        <w:pStyle w:val="BodyText"/>
      </w:pPr>
      <w:r>
        <w:t xml:space="preserve">Out-of-phase: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H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sin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ψ</m:t>
                  </m:r>
                </m:e>
              </m:d>
            </m:num>
            <m:den>
              <m:sSub>
                <m:e>
                  <m:r>
                    <m:t>H</m:t>
                  </m:r>
                </m:e>
                <m:sub>
                  <m:r>
                    <m:t>p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This term is also referred to as the "imaginary" part of the response.</w:t>
      </w:r>
      <w:r>
        <w:t xml:space="preserve"> </w:t>
      </w:r>
      <w:r>
        <w:t xml:space="preserve">Unfortunately, different words refer to the same thing. Don't be confused.</w:t>
      </w:r>
      <w:r>
        <w:t xml:space="preserve"> </w:t>
      </w:r>
      <w:r>
        <w:t xml:space="preserve">Similar terminology is summarized as follows:</w:t>
      </w:r>
    </w:p>
    <w:tbl>
      <w:tblPr>
        <w:tblStyle w:val="Table"/>
        <w:tblW w:type="pct" w:w="3333"/>
        <w:tblLayout w:type="fixed"/>
        <w:tblLook w:firstRow="1" w:lastRow="0" w:firstColumn="0" w:lastColumn="0" w:noHBand="0" w:noVBand="0" w:val="0020"/>
      </w:tblPr>
      <w:tblGrid>
        <w:gridCol w:w="2640"/>
        <w:gridCol w:w="2640"/>
      </w:tblGrid>
      <w:tr>
        <w:trPr>
          <w:tblHeader w:val="on"/>
        </w:trPr>
        <w:tc>
          <w:tcPr/>
          <w:p>
            <w:pPr>
              <w:pStyle w:val="BlockText"/>
            </w:pPr>
            <w:r>
              <w:rPr>
                <w:b/>
                <w:bCs/>
              </w:rPr>
              <w:t xml:space="preserve">In-Phase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Out-of-Phase</w:t>
            </w:r>
          </w:p>
        </w:tc>
      </w:tr>
      <w:tr>
        <w:tc>
          <w:tcPr/>
          <w:p>
            <w:pPr>
              <w:pStyle w:val="BlockText"/>
            </w:pPr>
            <w:r>
              <w:t xml:space="preserve">Real</w:t>
            </w:r>
          </w:p>
        </w:tc>
        <w:tc>
          <w:tcPr/>
          <w:p>
            <w:pPr>
              <w:pStyle w:val="BlockText"/>
            </w:pPr>
            <w:r>
              <w:t xml:space="preserve">Imaginary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BlockText"/>
            </w:pPr>
            <w:r>
              <w:t xml:space="preserve">Quadrature</w:t>
            </w:r>
          </w:p>
        </w:tc>
      </w:tr>
    </w:tbl>
    <w:p>
      <w:pPr>
        <w:pStyle w:val="FirstParagraph"/>
      </w:pPr>
      <w:r>
        <w:t xml:space="preserve">Since both in-phase and out-of-phase quantities are small, their values are</w:t>
      </w:r>
      <w:r>
        <w:t xml:space="preserve"> </w:t>
      </w:r>
      <w:r>
        <w:t xml:space="preserve">usually given in ppm (parts per million). Insight regarding the expected value</w:t>
      </w:r>
      <w:r>
        <w:t xml:space="preserve"> </w:t>
      </w:r>
      <w:r>
        <w:t xml:space="preserve">of the In-phase and Out-of-phase components can be obtained by examining the</w:t>
      </w:r>
      <w:r>
        <w:t xml:space="preserve"> </w:t>
      </w:r>
      <w:r>
        <w:t xml:space="preserve">response of a single loop of wire (of resistance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 inductance</w:t>
      </w:r>
      <w:r>
        <w:t xml:space="preserve"> </w:t>
      </w:r>
      <m:oMath>
        <m:r>
          <m:t>L</m:t>
        </m:r>
      </m:oMath>
      <w:r>
        <w:t xml:space="preserve">. The ratio</w:t>
      </w:r>
      <w:r>
        <w:t xml:space="preserve"> </w:t>
      </w:r>
      <m:oMath>
        <m:sSub>
          <m:e>
            <m:r>
              <m:t>H</m:t>
            </m:r>
          </m:e>
          <m:sub>
            <m:r>
              <m:t>s</m:t>
            </m:r>
            <m:r>
              <m:t>e</m:t>
            </m:r>
            <m:r>
              <m:t>c</m:t>
            </m:r>
            <m:r>
              <m:t>o</m:t>
            </m:r>
            <m:r>
              <m:t>n</m:t>
            </m:r>
            <m:r>
              <m:t>d</m:t>
            </m:r>
            <m:r>
              <m:t>a</m:t>
            </m:r>
            <m:r>
              <m:t>r</m:t>
            </m:r>
            <m:r>
              <m:t>y</m:t>
            </m:r>
          </m:sub>
        </m:sSub>
        <m:r>
          <m:rPr>
            <m:sty m:val="p"/>
          </m:rPr>
          <m:t>/</m:t>
        </m:r>
        <m:sSub>
          <m:e>
            <m:r>
              <m:t>H</m:t>
            </m:r>
          </m:e>
          <m:sub>
            <m:r>
              <m:t>p</m:t>
            </m:r>
            <m:r>
              <m:t>r</m:t>
            </m:r>
            <m:r>
              <m:t>i</m:t>
            </m:r>
            <m:r>
              <m:t>m</m:t>
            </m:r>
            <m:r>
              <m:t>a</m:t>
            </m:r>
            <m:r>
              <m:t>r</m:t>
            </m:r>
            <m:r>
              <m:t>y</m:t>
            </m:r>
          </m:sub>
        </m:sSub>
      </m:oMath>
      <w:r>
        <w:t xml:space="preserve"> </w:t>
      </w:r>
      <w:r>
        <w:t xml:space="preserve">or (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</m:sub>
        </m:sSub>
        <m:r>
          <m:rPr>
            <m:sty m:val="p"/>
          </m:rPr>
          <m:t>/</m:t>
        </m:r>
        <m:sSub>
          <m:e>
            <m:r>
              <m:t>V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if</w:t>
      </w:r>
      <w:r>
        <w:t xml:space="preserve"> </w:t>
      </w:r>
      <w:r>
        <w:t xml:space="preserve">the receiver is a coil) is given by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H</m:t>
                  </m:r>
                </m:e>
                <m:sub>
                  <m:r>
                    <m:t>S</m:t>
                  </m:r>
                </m:sub>
              </m:sSub>
            </m:num>
            <m:den>
              <m:sSub>
                <m:e>
                  <m:r>
                    <m:t>H</m:t>
                  </m:r>
                </m:e>
                <m:sub>
                  <m:r>
                    <m:t>P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nor/>
              <m:sty m:val="p"/>
            </m:rPr>
            <m:t>(Coupling Coefficients)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α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ω</m:t>
        </m:r>
        <m:r>
          <m:t>L</m:t>
        </m:r>
        <m:r>
          <m:rPr>
            <m:sty m:val="p"/>
          </m:rPr>
          <m:t>/</m:t>
        </m:r>
        <m:r>
          <m:t>R</m:t>
        </m:r>
      </m:oMath>
      <w:r>
        <w:t xml:space="preserve">. A plot of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provides</w:t>
      </w:r>
      <w:r>
        <w:t xml:space="preserve"> </w:t>
      </w:r>
      <w:r>
        <w:t xml:space="preserve">considerable insight into electromagnetic data. Such a plot is probably one of the most</w:t>
      </w:r>
      <w:r>
        <w:t xml:space="preserve"> </w:t>
      </w:r>
      <w:r>
        <w:t xml:space="preserve">important plots in electromagnetic induction.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is a complex</w:t>
      </w:r>
      <w:r>
        <w:t xml:space="preserve"> </w:t>
      </w:r>
      <w:r>
        <w:t xml:space="preserve">number and has real and imaginary parts.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./images/response_parameter_function.jpg</w:t>
            </w:r>
          </w:p>
        </w:tc>
      </w:tr>
    </w:tbl>
    <w:p>
      <w:pPr>
        <w:pStyle w:val="BodyText"/>
      </w:pPr>
      <w:r>
        <w:t xml:space="preserve">Remark: for those familiar with complex numbers, the coupling coefficients are</w:t>
      </w:r>
      <w:r>
        <w:t xml:space="preserve"> </w:t>
      </w:r>
      <w:r>
        <w:t xml:space="preserve">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i</m:t>
              </m:r>
              <m:r>
                <m:t>α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The coupling coefficients depend upon the orientation of the transmitter and</w:t>
      </w:r>
      <w:r>
        <w:t xml:space="preserve"> </w:t>
      </w:r>
      <w:r>
        <w:t xml:space="preserve">receiver as well as the geometry of the target body.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Frequency Domain Data</dc:title>
  <dc:creator/>
  <cp:keywords/>
  <dcterms:created xsi:type="dcterms:W3CDTF">2025-01-16T09:28:53Z</dcterms:created>
  <dcterms:modified xsi:type="dcterms:W3CDTF">2025-01-16T09:28:53Z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