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p>
    <w:bookmarkStart w:id="22" w:name="dual-loop-systems"/>
    <w:p>
      <w:pPr>
        <w:pStyle w:val="Heading1"/>
      </w:pPr>
      <w:r>
        <w:t xml:space="preserve">Dual Loop Systems</w:t>
      </w:r>
    </w:p>
    <w:bookmarkStart w:id="20" w:name="em-31"/>
    <w:p>
      <w:pPr>
        <w:pStyle w:val="Heading2"/>
      </w:pPr>
      <w:r>
        <w:t xml:space="preserve">EM-31</w:t>
      </w:r>
    </w:p>
    <w:p>
      <w:pPr>
        <w:pStyle w:val="FirstParagraph"/>
      </w:pPr>
      <w:r>
        <w:t xml:space="preserve">Loop-loop system mounted on a 4 meter boom. The transmitting coil operates at</w:t>
      </w:r>
      <w:r>
        <w:t xml:space="preserve"> </w:t>
      </w:r>
      <w:r>
        <w:t xml:space="preserve">a frequency of 9.8 kHz and the receiving coil is located 3.66 meters from the</w:t>
      </w:r>
      <w:r>
        <w:t xml:space="preserve"> </w:t>
      </w:r>
      <w:r>
        <w:t xml:space="preserve">transmitter. The instrument measures both the in-phase and quadrature fields.</w:t>
      </w:r>
      <w:r>
        <w:t xml:space="preserve"> </w:t>
      </w:r>
      <w:r>
        <w:t xml:space="preserve">The in-phase component is diagnostic of high conductivity bodies (metal pipes,</w:t>
      </w:r>
      <w:r>
        <w:t xml:space="preserve"> </w:t>
      </w:r>
      <w:r>
        <w:t xml:space="preserve">drums, etc.) and the quadrature component can be converted into an apparent</w:t>
      </w:r>
      <w:r>
        <w:t xml:space="preserve"> </w:t>
      </w:r>
      <w:r>
        <w:t xml:space="preserve">conductivity which is read out in mS/m. Such readings arc valid only if the</w:t>
      </w:r>
      <w:r>
        <w:t xml:space="preserve"> </w:t>
      </w:r>
      <w:r>
        <w:t xml:space="preserve">ground is laterally uniform on a scale length equal to the source-receiver</w:t>
      </w:r>
      <w:r>
        <w:t xml:space="preserve"> </w:t>
      </w:r>
      <w:r>
        <w:t xml:space="preserve">separation and that</w:t>
      </w:r>
      <w:r>
        <w:t xml:space="preserve"> </w:t>
      </w:r>
      <m:oMath>
        <m:r>
          <m:t>s</m:t>
        </m:r>
        <m:r>
          <m:rPr>
            <m:sty m:val="p"/>
          </m:rPr>
          <m:t>&lt;</m:t>
        </m:r>
        <m:r>
          <m:rPr>
            <m:sty m:val="p"/>
          </m:rPr>
          <m:t>&lt;</m:t>
        </m:r>
        <m:r>
          <m:t>δ</m:t>
        </m:r>
      </m:oMath>
      <w:r>
        <w:t xml:space="preserve">. The instrument and coils can be</w:t>
      </w:r>
      <w:r>
        <w:t xml:space="preserve"> </w:t>
      </w:r>
      <w:r>
        <w:t xml:space="preserve">rotated by 90° so that loops are vertical. This provides data estimating the</w:t>
      </w:r>
      <w:r>
        <w:t xml:space="preserve"> </w:t>
      </w:r>
      <w:r>
        <w:t xml:space="preserve">conductivities and thickness. The effective depth of exploration is about 6</w:t>
      </w:r>
      <w:r>
        <w:t xml:space="preserve"> </w:t>
      </w:r>
      <w:r>
        <w:t xml:space="preserve">meters for the vertical dipole mode and about 3 meters for the horizontal</w:t>
      </w:r>
      <w:r>
        <w:t xml:space="preserve"> </w:t>
      </w:r>
      <w:r>
        <w:t xml:space="preserve">dipole mode. Data can be acquired with the device held at hip level or it can</w:t>
      </w:r>
      <w:r>
        <w:t xml:space="preserve"> </w:t>
      </w:r>
      <w:r>
        <w:t xml:space="preserve">be put on the ground.</w:t>
      </w:r>
    </w:p>
    <w:bookmarkEnd w:id="20"/>
    <w:bookmarkStart w:id="21" w:name="em-34"/>
    <w:p>
      <w:pPr>
        <w:pStyle w:val="Heading2"/>
      </w:pPr>
      <w:r>
        <w:t xml:space="preserve">EM-34</w:t>
      </w:r>
    </w:p>
    <w:p>
      <w:pPr>
        <w:pStyle w:val="FirstParagraph"/>
      </w:pPr>
      <w:r>
        <w:t xml:space="preserve">This uses two vertical or horizontal coplanar coils that are not attached to</w:t>
      </w:r>
      <w:r>
        <w:t xml:space="preserve"> </w:t>
      </w:r>
      <w:r>
        <w:t xml:space="preserve">each other. The coils and analysis system are designed so that different coil</w:t>
      </w:r>
      <w:r>
        <w:t xml:space="preserve"> </w:t>
      </w:r>
      <w:r>
        <w:t xml:space="preserve">separations operate at different frequencies:</w:t>
      </w:r>
    </w:p>
    <w:p>
      <w:pPr>
        <w:pStyle w:val="Compact"/>
        <w:numPr>
          <w:ilvl w:val="0"/>
          <w:numId w:val="1001"/>
        </w:numPr>
      </w:pPr>
      <w:r>
        <w:t xml:space="preserve">10 meters at 6.4 kHz</w:t>
      </w:r>
    </w:p>
    <w:p>
      <w:pPr>
        <w:pStyle w:val="Compact"/>
        <w:numPr>
          <w:ilvl w:val="0"/>
          <w:numId w:val="1001"/>
        </w:numPr>
      </w:pPr>
      <w:r>
        <w:t xml:space="preserve">20 meters at 1.6 kHz</w:t>
      </w:r>
    </w:p>
    <w:p>
      <w:pPr>
        <w:pStyle w:val="Compact"/>
        <w:numPr>
          <w:ilvl w:val="0"/>
          <w:numId w:val="1001"/>
        </w:numPr>
      </w:pPr>
      <w:r>
        <w:t xml:space="preserve">40 meters at 0.4 kHz</w:t>
      </w:r>
    </w:p>
    <w:p>
      <w:pPr>
        <w:pStyle w:val="FirstParagraph"/>
      </w:pPr>
      <w:r>
        <w:t xml:space="preserve">This allows greater penetration into the ground and hence is used to delineate</w:t>
      </w:r>
      <w:r>
        <w:t xml:space="preserve"> </w:t>
      </w:r>
      <w:r>
        <w:t xml:space="preserve">vertical geologic anomalies and for groundwater exploration in fractured,</w:t>
      </w:r>
      <w:r>
        <w:t xml:space="preserve"> </w:t>
      </w:r>
      <w:r>
        <w:t xml:space="preserve">faulted and weathered bedrock zones.</w:t>
      </w:r>
    </w:p>
    <w:bookmarkEnd w:id="21"/>
    <w:bookmarkEnd w:id="22"/>
    <w:bookmarkStart w:id="23" w:name="depth-of-investigation"/>
    <w:p>
      <w:pPr>
        <w:pStyle w:val="Heading1"/>
      </w:pPr>
      <w:r>
        <w:t xml:space="preserve">Depth of Investigation</w:t>
      </w:r>
    </w:p>
    <w:p>
      <w:pPr>
        <w:pStyle w:val="FirstParagraph"/>
      </w:pPr>
      <w:r>
        <w:t xml:space="preserve">A maximum depth of investigation is provided by the skin depth rule, however</w:t>
      </w:r>
      <w:r>
        <w:t xml:space="preserve"> </w:t>
      </w:r>
      <w:r>
        <w:t xml:space="preserve">for controlled source surveys we also need to take into account the source and</w:t>
      </w:r>
      <w:r>
        <w:t xml:space="preserve"> </w:t>
      </w:r>
      <w:r>
        <w:t xml:space="preserve">receiver geometry. This generally reduces the depth of penetration. A rule of</w:t>
      </w:r>
      <w:r>
        <w:t xml:space="preserve"> </w:t>
      </w:r>
      <w:r>
        <w:t xml:space="preserve">thumb for loop-loop systems is that the depth of penetration is about twice</w:t>
      </w:r>
      <w:r>
        <w:t xml:space="preserve"> </w:t>
      </w:r>
      <w:r>
        <w:t xml:space="preserve">the separation of the source and receiver, but this is very approximate and is</w:t>
      </w:r>
      <w:r>
        <w:t xml:space="preserve"> </w:t>
      </w:r>
      <w:r>
        <w:t xml:space="preserve">easily violated. Also, a necessary condition for this to happen is that the</w:t>
      </w:r>
      <w:r>
        <w:t xml:space="preserve"> </w:t>
      </w:r>
      <w:r>
        <w:t xml:space="preserve">source/receiver separation</w:t>
      </w:r>
      <w:r>
        <w:t xml:space="preserve"> </w:t>
      </w:r>
      <m:oMath>
        <m:r>
          <m:t>s</m:t>
        </m:r>
        <m:r>
          <m:rPr>
            <m:sty m:val="p"/>
          </m:rPr>
          <m:t>&lt;</m:t>
        </m:r>
        <m:r>
          <m:rPr>
            <m:sty m:val="p"/>
          </m:rPr>
          <m:t>&lt;</m:t>
        </m:r>
        <m:r>
          <m:t>δ</m:t>
        </m:r>
      </m:oMath>
      <w:r>
        <w:t xml:space="preserve"> </w:t>
      </w:r>
      <w:r>
        <w:t xml:space="preserve">(coil separation is less than</w:t>
      </w:r>
      <w:r>
        <w:t xml:space="preserve"> </w:t>
      </w:r>
      <w:r>
        <w:t xml:space="preserve">the skin depth).</w:t>
      </w:r>
    </w:p>
    <w:p>
      <w:pPr>
        <w:pStyle w:val="BodyText"/>
      </w:pPr>
      <w:r>
        <w:t xml:space="preserve">If we are attempting to find a conducting target then the ability to see the</w:t>
      </w:r>
      <w:r>
        <w:t xml:space="preserve"> </w:t>
      </w:r>
      <w:r>
        <w:t xml:space="preserve">target depends upon the coil orientation and coil separation. It must also</w:t>
      </w:r>
      <w:r>
        <w:t xml:space="preserve"> </w:t>
      </w:r>
      <w:r>
        <w:t xml:space="preserve">take into account the fact that the:</w:t>
      </w:r>
    </w:p>
    <w:p>
      <w:pPr>
        <w:pStyle w:val="Compact"/>
        <w:numPr>
          <w:ilvl w:val="0"/>
          <w:numId w:val="1002"/>
        </w:numPr>
      </w:pPr>
      <w:r>
        <w:t xml:space="preserve">primary field is attenuated before it reaches the target</w:t>
      </w:r>
    </w:p>
    <w:p>
      <w:pPr>
        <w:pStyle w:val="Compact"/>
        <w:numPr>
          <w:ilvl w:val="0"/>
          <w:numId w:val="1002"/>
        </w:numPr>
      </w:pPr>
      <w:r>
        <w:t xml:space="preserve">the secondary fields are attenuated as they travel from the target to the receiver.</w:t>
      </w:r>
    </w:p>
    <w:bookmarkEnd w:id="23"/>
    <w:bookmarkStart w:id="24" w:name="X9791c3a1a8ffc21fc3b440ff27b144f078dc021"/>
    <w:p>
      <w:pPr>
        <w:pStyle w:val="Heading1"/>
      </w:pPr>
      <w:r>
        <w:t xml:space="preserve">Apparent Conductivity from the Quadrature Component</w:t>
      </w:r>
    </w:p>
    <w:p>
      <w:pPr>
        <w:pStyle w:val="FirstParagraph"/>
      </w:pPr>
      <w:r>
        <w:t xml:space="preserve">If the spacing</w:t>
      </w:r>
      <w:r>
        <w:t xml:space="preserve"> </w:t>
      </w:r>
      <m:oMath>
        <m:r>
          <m:t>s</m:t>
        </m:r>
      </m:oMath>
      <w:r>
        <w:t xml:space="preserve"> </w:t>
      </w:r>
      <w:r>
        <w:t xml:space="preserve">between the coils is much less than the skin depth,</w:t>
      </w:r>
      <w:r>
        <w:t xml:space="preserve"> </w:t>
      </w:r>
      <w:r>
        <w:t xml:space="preserve">that is,</w:t>
      </w:r>
      <w:r>
        <w:t xml:space="preserve"> </w:t>
      </w:r>
      <m:oMath>
        <m:r>
          <m:t>s</m:t>
        </m:r>
        <m:r>
          <m:rPr>
            <m:sty m:val="p"/>
          </m:rPr>
          <m:t>&lt;</m:t>
        </m:r>
        <m:r>
          <m:rPr>
            <m:sty m:val="p"/>
          </m:rPr>
          <m:t>&lt;</m:t>
        </m:r>
        <m:r>
          <m:t>δ</m:t>
        </m:r>
      </m:oMath>
      <w:r>
        <w:t xml:space="preserve"> </w:t>
      </w:r>
      <w:r>
        <w:t xml:space="preserve">then the ratio of secondary to primary field is</w:t>
      </w:r>
      <w:r>
        <w:t xml:space="preserve"> </w:t>
      </w:r>
      <w:r>
        <w:t xml:space="preserve">approximately</w:t>
      </w:r>
    </w:p>
    <w:p>
      <w:pPr>
        <w:pStyle w:val="BodyText"/>
      </w:pPr>
      <m:oMathPara>
        <m:oMathParaPr>
          <m:jc m:val="center"/>
        </m:oMathParaPr>
        <m:oMath>
          <m:f>
            <m:fPr>
              <m:type m:val="bar"/>
            </m:fPr>
            <m:num>
              <m:sSub>
                <m:e>
                  <m:r>
                    <m:t>H</m:t>
                  </m:r>
                </m:e>
                <m:sub>
                  <m:r>
                    <m:t>s</m:t>
                  </m:r>
                </m:sub>
              </m:sSub>
            </m:num>
            <m:den>
              <m:sSub>
                <m:e>
                  <m:r>
                    <m:t>H</m:t>
                  </m:r>
                </m:e>
                <m:sub>
                  <m:r>
                    <m:t>p</m:t>
                  </m:r>
                </m:sub>
              </m:sSub>
            </m:den>
          </m:f>
          <m:r>
            <m:rPr>
              <m:sty m:val="p"/>
            </m:rPr>
            <m:t>≃</m:t>
          </m:r>
          <m:r>
            <m:t>i</m:t>
          </m:r>
          <m:f>
            <m:fPr>
              <m:type m:val="bar"/>
            </m:fPr>
            <m:num>
              <m:r>
                <m:t>ω</m:t>
              </m:r>
              <m:sSub>
                <m:e>
                  <m:r>
                    <m:t>μ</m:t>
                  </m:r>
                </m:e>
                <m:sub>
                  <m:r>
                    <m:t>0</m:t>
                  </m:r>
                </m:sub>
              </m:sSub>
              <m:r>
                <m:t>σ</m:t>
              </m:r>
              <m:sSup>
                <m:e>
                  <m:r>
                    <m:t>s</m:t>
                  </m:r>
                </m:e>
                <m:sup>
                  <m:r>
                    <m:t>2</m:t>
                  </m:r>
                </m:sup>
              </m:sSup>
            </m:num>
            <m:den>
              <m:r>
                <m:t>4</m:t>
              </m:r>
            </m:den>
          </m:f>
        </m:oMath>
      </m:oMathPara>
    </w:p>
    <w:p>
      <w:pPr>
        <w:pStyle w:val="FirstParagraph"/>
      </w:pPr>
      <w:r>
        <w:t xml:space="preserve">where</w:t>
      </w:r>
      <w:r>
        <w:t xml:space="preserve"> </w:t>
      </w:r>
      <m:oMath>
        <m:r>
          <m:t>i</m:t>
        </m:r>
      </m:oMath>
      <w:r>
        <w:t xml:space="preserve"> </w:t>
      </w:r>
      <w:r>
        <w:t xml:space="preserve">is the imaginary unit. The response is purely imaginary, that is, it is found in the quadrature component of the data. The constant conductivity which gives rise to the observed response can be found from the above formula. It is referred to as the apparent conductivity</w:t>
      </w:r>
      <w:r>
        <w:t xml:space="preserve"> </w:t>
      </w:r>
      <m:oMath>
        <m:sSub>
          <m:e>
            <m:r>
              <m:t>σ</m:t>
            </m:r>
          </m:e>
          <m:sub>
            <m:r>
              <m:t>a</m:t>
            </m:r>
          </m:sub>
        </m:sSub>
      </m:oMath>
      <w:r>
        <w:t xml:space="preserve">:</w:t>
      </w:r>
    </w:p>
    <w:p>
      <w:pPr>
        <w:pStyle w:val="BodyText"/>
      </w:pPr>
      <m:oMathPara>
        <m:oMathParaPr>
          <m:jc m:val="center"/>
        </m:oMathParaPr>
        <m:oMath>
          <m:sSub>
            <m:e>
              <m:r>
                <m:t>σ</m:t>
              </m:r>
            </m:e>
            <m:sub>
              <m:r>
                <m:t>a</m:t>
              </m:r>
            </m:sub>
          </m:sSub>
          <m:r>
            <m:rPr>
              <m:sty m:val="p"/>
            </m:rPr>
            <m:t>=</m:t>
          </m:r>
          <m:f>
            <m:fPr>
              <m:type m:val="bar"/>
            </m:fPr>
            <m:num>
              <m:r>
                <m:t>4</m:t>
              </m:r>
            </m:num>
            <m:den>
              <m:r>
                <m:t>ω</m:t>
              </m:r>
              <m:sSub>
                <m:e>
                  <m:r>
                    <m:t>μ</m:t>
                  </m:r>
                </m:e>
                <m:sub>
                  <m:r>
                    <m:t>0</m:t>
                  </m:r>
                </m:sub>
              </m:sSub>
              <m:sSup>
                <m:e>
                  <m:r>
                    <m:t>s</m:t>
                  </m:r>
                </m:e>
                <m:sup>
                  <m:r>
                    <m:t>2</m:t>
                  </m:r>
                </m:sup>
              </m:sSup>
            </m:den>
          </m:f>
          <m:r>
            <m:rPr>
              <m:sty m:val="p"/>
            </m:rPr>
            <m:t>I</m:t>
          </m:r>
          <m:r>
            <m:rPr>
              <m:sty m:val="p"/>
            </m:rPr>
            <m:t>m</m:t>
          </m:r>
          <m:d>
            <m:dPr>
              <m:begChr m:val="{"/>
              <m:sepChr m:val=""/>
              <m:endChr m:val="}"/>
              <m:grow/>
            </m:dPr>
            <m:e>
              <m:f>
                <m:fPr>
                  <m:type m:val="bar"/>
                </m:fPr>
                <m:num>
                  <m:sSub>
                    <m:e>
                      <m:r>
                        <m:t>H</m:t>
                      </m:r>
                    </m:e>
                    <m:sub>
                      <m:r>
                        <m:t>s</m:t>
                      </m:r>
                    </m:sub>
                  </m:sSub>
                </m:num>
                <m:den>
                  <m:sSub>
                    <m:e>
                      <m:r>
                        <m:t>H</m:t>
                      </m:r>
                    </m:e>
                    <m:sub>
                      <m:r>
                        <m:t>p</m:t>
                      </m:r>
                    </m:sub>
                  </m:sSub>
                </m:den>
              </m:f>
            </m:e>
          </m:d>
          <m:r>
            <m:rPr>
              <m:sty m:val="p"/>
            </m:rPr>
            <m:t>,</m:t>
          </m:r>
        </m:oMath>
      </m:oMathPara>
    </w:p>
    <w:p>
      <w:pPr>
        <w:pStyle w:val="FirstParagraph"/>
      </w:pPr>
      <w:r>
        <w:t xml:space="preserve">where</w:t>
      </w:r>
      <w:r>
        <w:t xml:space="preserve"> </w:t>
      </w:r>
      <m:oMath>
        <m:r>
          <m:rPr>
            <m:sty m:val="p"/>
          </m:rPr>
          <m:t>I</m:t>
        </m:r>
        <m:r>
          <m:rPr>
            <m:sty m:val="p"/>
          </m:rPr>
          <m:t>m</m:t>
        </m:r>
        <m:d>
          <m:dPr>
            <m:begChr m:val="{"/>
            <m:sepChr m:val=""/>
            <m:endChr m:val="}"/>
            <m:grow/>
          </m:dPr>
          <m:e>
            <m:f>
              <m:fPr>
                <m:type m:val="bar"/>
              </m:fPr>
              <m:num>
                <m:sSub>
                  <m:e>
                    <m:r>
                      <m:t>H</m:t>
                    </m:r>
                  </m:e>
                  <m:sub>
                    <m:r>
                      <m:t>s</m:t>
                    </m:r>
                  </m:sub>
                </m:sSub>
              </m:num>
              <m:den>
                <m:sSub>
                  <m:e>
                    <m:r>
                      <m:t>H</m:t>
                    </m:r>
                  </m:e>
                  <m:sub>
                    <m:r>
                      <m:t>p</m:t>
                    </m:r>
                  </m:sub>
                </m:sSub>
              </m:den>
            </m:f>
          </m:e>
        </m:d>
      </m:oMath>
      <w:r>
        <w:t xml:space="preserve"> </w:t>
      </w:r>
      <w:r>
        <w:t xml:space="preserve">is the imaginary part of the secondary field to primary field ratio. Further insight about the apparent conductivity is obtained by incorporating</w:t>
      </w:r>
      <w:r>
        <w:t xml:space="preserve"> </w:t>
      </w:r>
      <w:r>
        <w:t xml:space="preserve">the response curves</w:t>
      </w:r>
      <w:r>
        <w:t xml:space="preserve"> </w:t>
      </w:r>
      <m:oMath>
        <m:sSub>
          <m:e>
            <m:r>
              <m:t>ϕ</m:t>
            </m:r>
          </m:e>
          <m:sub>
            <m:r>
              <m:t>V</m:t>
            </m:r>
          </m:sub>
        </m:sSub>
        <m:d>
          <m:dPr>
            <m:begChr m:val="("/>
            <m:sepChr m:val=""/>
            <m:endChr m:val=")"/>
            <m:grow/>
          </m:dPr>
          <m:e>
            <m:r>
              <m:t>z</m:t>
            </m:r>
          </m:e>
        </m:d>
      </m:oMath>
      <w:r>
        <w:t xml:space="preserve"> </w:t>
      </w:r>
      <w:r>
        <w:t xml:space="preserve">and</w:t>
      </w:r>
      <w:r>
        <w:t xml:space="preserve"> </w:t>
      </w:r>
      <m:oMath>
        <m:sSub>
          <m:e>
            <m:r>
              <m:t>ϕ</m:t>
            </m:r>
          </m:e>
          <m:sub>
            <m:r>
              <m:t>H</m:t>
            </m:r>
          </m:sub>
        </m:sSub>
        <m:d>
          <m:dPr>
            <m:begChr m:val="("/>
            <m:sepChr m:val=""/>
            <m:endChr m:val=")"/>
            <m:grow/>
          </m:dPr>
          <m:e>
            <m:r>
              <m:t>z</m:t>
            </m:r>
          </m:e>
        </m:d>
      </m:oMath>
      <w:r>
        <w:t xml:space="preserve">. We have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σ</m:t>
                    </m:r>
                  </m:e>
                  <m:sub>
                    <m:r>
                      <m:t>a</m:t>
                    </m:r>
                  </m:sub>
                </m:sSub>
              </m:e>
              <m:e>
                <m:r>
                  <m:rPr>
                    <m:sty m:val="p"/>
                  </m:rPr>
                  <m:t>=</m:t>
                </m:r>
                <m:nary>
                  <m:naryPr>
                    <m:chr m:val="∫"/>
                    <m:limLoc m:val="subSup"/>
                    <m:subHide m:val="off"/>
                    <m:supHide m:val="off"/>
                  </m:naryPr>
                  <m:sub>
                    <m:r>
                      <m:t>0</m:t>
                    </m:r>
                  </m:sub>
                  <m:sup>
                    <m:r>
                      <m:rPr>
                        <m:sty m:val="p"/>
                      </m:rPr>
                      <m:t>∞</m:t>
                    </m:r>
                  </m:sup>
                  <m:e>
                    <m:sSub>
                      <m:e>
                        <m:r>
                          <m:t>ϕ</m:t>
                        </m:r>
                      </m:e>
                      <m:sub>
                        <m:r>
                          <m:t>V</m:t>
                        </m:r>
                      </m:sub>
                    </m:sSub>
                  </m:e>
                </m:nary>
                <m:d>
                  <m:dPr>
                    <m:begChr m:val="("/>
                    <m:sepChr m:val=""/>
                    <m:endChr m:val=")"/>
                    <m:grow/>
                  </m:dPr>
                  <m:e>
                    <m:r>
                      <m:t>z</m:t>
                    </m:r>
                  </m:e>
                </m:d>
                <m:r>
                  <m:t>σ</m:t>
                </m:r>
                <m:d>
                  <m:dPr>
                    <m:begChr m:val="("/>
                    <m:sepChr m:val=""/>
                    <m:endChr m:val=")"/>
                    <m:grow/>
                  </m:dPr>
                  <m:e>
                    <m:r>
                      <m:t>z</m:t>
                    </m:r>
                  </m:e>
                </m:d>
                <m:r>
                  <m:t>d</m:t>
                </m:r>
                <m:r>
                  <m:t>z</m:t>
                </m:r>
              </m:e>
            </m:mr>
            <m:mr>
              <m:e>
                <m:sSub>
                  <m:e>
                    <m:r>
                      <m:t>σ</m:t>
                    </m:r>
                  </m:e>
                  <m:sub>
                    <m:r>
                      <m:t>a</m:t>
                    </m:r>
                  </m:sub>
                </m:sSub>
              </m:e>
              <m:e>
                <m:r>
                  <m:rPr>
                    <m:sty m:val="p"/>
                  </m:rPr>
                  <m:t>=</m:t>
                </m:r>
                <m:nary>
                  <m:naryPr>
                    <m:chr m:val="∫"/>
                    <m:limLoc m:val="subSup"/>
                    <m:subHide m:val="off"/>
                    <m:supHide m:val="off"/>
                  </m:naryPr>
                  <m:sub>
                    <m:r>
                      <m:t>0</m:t>
                    </m:r>
                  </m:sub>
                  <m:sup>
                    <m:r>
                      <m:rPr>
                        <m:sty m:val="p"/>
                      </m:rPr>
                      <m:t>∞</m:t>
                    </m:r>
                  </m:sup>
                  <m:e>
                    <m:sSub>
                      <m:e>
                        <m:r>
                          <m:t>ϕ</m:t>
                        </m:r>
                      </m:e>
                      <m:sub>
                        <m:r>
                          <m:t>H</m:t>
                        </m:r>
                      </m:sub>
                    </m:sSub>
                  </m:e>
                </m:nary>
                <m:d>
                  <m:dPr>
                    <m:begChr m:val="("/>
                    <m:sepChr m:val=""/>
                    <m:endChr m:val=")"/>
                    <m:grow/>
                  </m:dPr>
                  <m:e>
                    <m:r>
                      <m:t>z</m:t>
                    </m:r>
                  </m:e>
                </m:d>
                <m:r>
                  <m:t>σ</m:t>
                </m:r>
                <m:d>
                  <m:dPr>
                    <m:begChr m:val="("/>
                    <m:sepChr m:val=""/>
                    <m:endChr m:val=")"/>
                    <m:grow/>
                  </m:dPr>
                  <m:e>
                    <m:r>
                      <m:t>z</m:t>
                    </m:r>
                  </m:e>
                </m:d>
                <m:r>
                  <m:t>d</m:t>
                </m:r>
                <m:r>
                  <m:t>z</m:t>
                </m:r>
              </m:e>
            </m:mr>
          </m:m>
        </m:oMath>
      </m:oMathPara>
    </w:p>
    <w:p>
      <w:pPr>
        <w:pStyle w:val="FirstParagraph"/>
      </w:pPr>
      <w:r>
        <w:t xml:space="preserve">respectively for the vertical and horizontal dipoles.</w:t>
      </w:r>
    </w:p>
    <w:bookmarkEnd w:id="24"/>
    <w:bookmarkStart w:id="25" w:name="relative-response-function"/>
    <w:p>
      <w:pPr>
        <w:pStyle w:val="Heading1"/>
      </w:pPr>
      <w:r>
        <w:t xml:space="preserve">Relative Response Function</w:t>
      </w:r>
    </w:p>
    <w:p>
      <w:pPr>
        <w:pStyle w:val="FirstParagraph"/>
      </w:pPr>
      <w:r>
        <w:t xml:space="preserve">The justification for the above statement is based upon the following.</w:t>
      </w:r>
      <w:r>
        <w:t xml:space="preserve"> </w:t>
      </w:r>
      <w:r>
        <w:t xml:space="preserve">Consider a homogeneous halfspace on the surface of which is located a</w:t>
      </w:r>
      <w:r>
        <w:t xml:space="preserve"> </w:t>
      </w:r>
      <w:r>
        <w:t xml:space="preserve">horizontal coplanar coil (HCP) system (e.g. EM31) or a vertical coplanar (VCP)</w:t>
      </w:r>
      <w:r>
        <w:t xml:space="preserve"> </w:t>
      </w:r>
      <w:r>
        <w:t xml:space="preserve">system (EM34). Let the depth</w:t>
      </w:r>
      <w:r>
        <w:t xml:space="preserve"> </w:t>
      </w:r>
      <m:oMath>
        <m:r>
          <m:t>z</m:t>
        </m:r>
      </m:oMath>
      <w:r>
        <w:t xml:space="preserve"> </w:t>
      </w:r>
      <w:r>
        <w:t xml:space="preserve">in the earth be normalized by the coil</w:t>
      </w:r>
      <w:r>
        <w:t xml:space="preserve"> </w:t>
      </w:r>
      <w:r>
        <w:t xml:space="preserve">spacing</w:t>
      </w:r>
      <w:r>
        <w:t xml:space="preserve"> </w:t>
      </w:r>
      <m:oMath>
        <m:r>
          <m:t>s</m:t>
        </m:r>
      </m:oMath>
      <w:r>
        <w:t xml:space="preserve">. (True depth in meters is</w:t>
      </w:r>
      <w:r>
        <w:t xml:space="preserve"> </w:t>
      </w:r>
      <m:oMath>
        <m:r>
          <m:t>z</m:t>
        </m:r>
        <m:r>
          <m:t>s</m:t>
        </m:r>
      </m:oMath>
      <w:r>
        <w:t xml:space="preserve">.) The time varying fields</w:t>
      </w:r>
      <w:r>
        <w:t xml:space="preserve"> </w:t>
      </w:r>
      <w:r>
        <w:t xml:space="preserve">in the transmitting coils will induce eddy currents in the earth. For a</w:t>
      </w:r>
      <w:r>
        <w:t xml:space="preserve"> </w:t>
      </w:r>
      <w:r>
        <w:t xml:space="preserve">homogeneous earth, these currents flow in horizontal planes. This is true even</w:t>
      </w:r>
      <w:r>
        <w:t xml:space="preserve"> </w:t>
      </w:r>
      <w:r>
        <w:t xml:space="preserve">for the vertically oriented coils. It is possible to calculate the</w:t>
      </w:r>
      <w:r>
        <w:t xml:space="preserve"> </w:t>
      </w:r>
      <w:r>
        <w:t xml:space="preserve">contribution to the secondary field as measured from the surface from any thin</w:t>
      </w:r>
      <w:r>
        <w:t xml:space="preserve"> </w:t>
      </w:r>
      <w:r>
        <w:t xml:space="preserve">layer of thickness</w:t>
      </w:r>
      <w:r>
        <w:t xml:space="preserve"> </w:t>
      </w:r>
      <m:oMath>
        <m:r>
          <m:t>d</m:t>
        </m:r>
        <m:r>
          <m:t>z</m:t>
        </m:r>
      </m:oMath>
      <w:r>
        <w:t xml:space="preserve"> </w:t>
      </w:r>
      <w:r>
        <w:t xml:space="preserve">at some depth</w:t>
      </w:r>
      <w:r>
        <w:t xml:space="preserve"> </w:t>
      </w:r>
      <m:oMath>
        <m:r>
          <m:t>z</m:t>
        </m:r>
      </m:oMath>
      <w:r>
        <w:t xml:space="preserve">. Let</w:t>
      </w:r>
      <w:r>
        <w:t xml:space="preserve"> </w:t>
      </w:r>
      <m:oMath>
        <m:sSub>
          <m:e>
            <m:r>
              <m:t>ϕ</m:t>
            </m:r>
          </m:e>
          <m:sub>
            <m:r>
              <m:t>V</m:t>
            </m:r>
          </m:sub>
        </m:sSub>
        <m:d>
          <m:dPr>
            <m:begChr m:val="("/>
            <m:sepChr m:val=""/>
            <m:endChr m:val=")"/>
            <m:grow/>
          </m:dPr>
          <m:e>
            <m:r>
              <m:t>z</m:t>
            </m:r>
          </m:e>
        </m:d>
      </m:oMath>
      <w:r>
        <w:t xml:space="preserve"> </w:t>
      </w:r>
      <w:r>
        <w:t xml:space="preserve">denote</w:t>
      </w:r>
      <w:r>
        <w:t xml:space="preserve"> </w:t>
      </w:r>
      <w:r>
        <w:t xml:space="preserve">this contribution from the vertical magnetic dipole source and receiver. The</w:t>
      </w:r>
      <w:r>
        <w:t xml:space="preserve"> </w:t>
      </w:r>
      <w:r>
        <w:t xml:space="preserve">subscript</w:t>
      </w:r>
      <w:r>
        <w:t xml:space="preserve"> </w:t>
      </w:r>
      <m:oMath>
        <m:r>
          <m:t>V</m:t>
        </m:r>
      </m:oMath>
      <w:r>
        <w:t xml:space="preserve"> </w:t>
      </w:r>
      <w:r>
        <w:t xml:space="preserve">denotes that the magnetic fields are vertical. A horizontal</w:t>
      </w:r>
      <w:r>
        <w:t xml:space="preserve"> </w:t>
      </w:r>
      <w:r>
        <w:t xml:space="preserve">loop of current acts like a vertical magnetic dipole. A plot of this function</w:t>
      </w:r>
      <w:r>
        <w:t xml:space="preserve"> </w:t>
      </w:r>
      <w:r>
        <w:t xml:space="preserve">is shown below:</w:t>
      </w:r>
    </w:p>
    <w:tbl>
      <w:tblPr>
        <w:tblStyle w:val="FigureTable"/>
        <w:tblW w:type="auto" w:w="0"/>
        <w:jc w:val="center"/>
        <w:tblLook w:firstRow="0" w:lastRow="0" w:firstColumn="0" w:lastColumn="0"/>
      </w:tblPr>
      <w:tblGrid>
        <w:gridCol w:w="7920"/>
      </w:tblGrid>
      <w:tr>
        <w:tc>
          <w:tcPr/>
          <w:p>
            <w:pPr>
              <w:pStyle w:val="Compact"/>
              <w:jc w:val="center"/>
            </w:pPr>
            <w:r>
              <w:t xml:space="preserve">./images/vertical_dipole_response.jpg</w:t>
            </w:r>
          </w:p>
        </w:tc>
      </w:tr>
    </w:tbl>
    <w:p>
      <w:pPr>
        <w:pStyle w:val="ImageCaption"/>
      </w:pPr>
      <w:r>
        <w:t xml:space="preserve">Relative response versus depth for vertical dipoles.</w:t>
      </w:r>
      <w:r>
        <w:t xml:space="preserve"> </w:t>
      </w:r>
      <m:oMath>
        <m:sSub>
          <m:e>
            <m:r>
              <m:t>ϕ</m:t>
            </m:r>
          </m:e>
          <m:sub>
            <m:r>
              <m:t>V</m:t>
            </m:r>
          </m:sub>
        </m:sSub>
        <m:d>
          <m:dPr>
            <m:begChr m:val="("/>
            <m:sepChr m:val=""/>
            <m:endChr m:val=")"/>
            <m:grow/>
          </m:dPr>
          <m:e>
            <m:r>
              <m:t>z</m:t>
            </m:r>
          </m:e>
        </m:d>
      </m:oMath>
      <w:r>
        <w:t xml:space="preserve"> </w:t>
      </w:r>
      <w:r>
        <w:t xml:space="preserve">is the relative contribution to</w:t>
      </w:r>
      <w:r>
        <w:t xml:space="preserve"> </w:t>
      </w:r>
      <m:oMath>
        <m:sSub>
          <m:e>
            <m:r>
              <m:t>H</m:t>
            </m:r>
          </m:e>
          <m:sub>
            <m:r>
              <m:t>s</m:t>
            </m:r>
          </m:sub>
        </m:sSub>
      </m:oMath>
      <w:r>
        <w:t xml:space="preserve">. from material in a thin layer dz located at (normalized) depth</w:t>
      </w:r>
      <w:r>
        <w:t xml:space="preserve"> </w:t>
      </w:r>
      <m:oMath>
        <m:r>
          <m:t>z</m:t>
        </m:r>
      </m:oMath>
      <w:r>
        <w:t xml:space="preserve">.</w:t>
      </w:r>
    </w:p>
    <w:p>
      <w:pPr>
        <w:pStyle w:val="BodyText"/>
      </w:pPr>
      <w:r>
        <w:t xml:space="preserve">Note that the vertical magnetic dipole has zero sensitivity at the surface,</w:t>
      </w:r>
      <w:r>
        <w:t xml:space="preserve"> </w:t>
      </w:r>
      <w:r>
        <w:t xml:space="preserve">has a maximum at about</w:t>
      </w:r>
      <w:r>
        <w:t xml:space="preserve"> </w:t>
      </w:r>
      <m:oMath>
        <m:r>
          <m:t>z</m:t>
        </m:r>
        <m:r>
          <m:rPr>
            <m:sty m:val="p"/>
          </m:rPr>
          <m:t>=</m:t>
        </m:r>
        <m:r>
          <m:t>0.4</m:t>
        </m:r>
      </m:oMath>
      <w:r>
        <w:t xml:space="preserve"> </w:t>
      </w:r>
      <w:r>
        <w:t xml:space="preserve">and is substantially diminished by</w:t>
      </w:r>
      <w:r>
        <w:t xml:space="preserve"> </w:t>
      </w:r>
      <m:oMath>
        <m:r>
          <m:t>z</m:t>
        </m:r>
        <m:r>
          <m:rPr>
            <m:sty m:val="p"/>
          </m:rPr>
          <m:t>=</m:t>
        </m:r>
        <m:r>
          <m:t>2.0</m:t>
        </m:r>
      </m:oMath>
      <w:r>
        <w:t xml:space="preserve">. It is this type of diagram which says that the maximum depth of</w:t>
      </w:r>
      <w:r>
        <w:t xml:space="preserve"> </w:t>
      </w:r>
      <w:r>
        <w:t xml:space="preserve">investigation is limited to about twice the coil separation. This rule of</w:t>
      </w:r>
      <w:r>
        <w:t xml:space="preserve"> </w:t>
      </w:r>
      <w:r>
        <w:t xml:space="preserve">thumb however is valid only when the coil separation is much less than the</w:t>
      </w:r>
      <w:r>
        <w:t xml:space="preserve"> </w:t>
      </w:r>
      <w:r>
        <w:t xml:space="preserve">skin depth.</w:t>
      </w:r>
    </w:p>
    <w:p>
      <w:pPr>
        <w:pStyle w:val="BodyText"/>
      </w:pPr>
      <w:r>
        <w:t xml:space="preserve">The response function from the horizontal magnetic is very different. Let</w:t>
      </w:r>
      <w:r>
        <w:t xml:space="preserve"> </w:t>
      </w:r>
      <m:oMath>
        <m:sSub>
          <m:e>
            <m:r>
              <m:t>ϕ</m:t>
            </m:r>
          </m:e>
          <m:sub>
            <m:r>
              <m:t>H</m:t>
            </m:r>
          </m:sub>
        </m:sSub>
        <m:d>
          <m:dPr>
            <m:begChr m:val="("/>
            <m:sepChr m:val=""/>
            <m:endChr m:val=")"/>
            <m:grow/>
          </m:dPr>
          <m:e>
            <m:r>
              <m:t>z</m:t>
            </m:r>
          </m:e>
        </m:d>
      </m:oMath>
      <w:r>
        <w:t xml:space="preserve"> </w:t>
      </w:r>
      <w:r>
        <w:t xml:space="preserve">denote the relative contribution that arises from a</w:t>
      </w:r>
      <w:r>
        <w:t xml:space="preserve"> </w:t>
      </w:r>
      <w:r>
        <w:t xml:space="preserve">horizontal magnetic dipole source and receiver. It has a maximum at the</w:t>
      </w:r>
      <w:r>
        <w:t xml:space="preserve"> </w:t>
      </w:r>
      <w:r>
        <w:t xml:space="preserve">surface, so it is sensitive to the conductivity there, and it decreases</w:t>
      </w:r>
      <w:r>
        <w:t xml:space="preserve"> </w:t>
      </w:r>
      <w:r>
        <w:t xml:space="preserve">monotonically with depth.</w:t>
      </w:r>
    </w:p>
    <w:tbl>
      <w:tblPr>
        <w:tblStyle w:val="FigureTable"/>
        <w:tblW w:type="auto" w:w="0"/>
        <w:jc w:val="center"/>
        <w:tblLook w:firstRow="0" w:lastRow="0" w:firstColumn="0" w:lastColumn="0"/>
      </w:tblPr>
      <w:tblGrid>
        <w:gridCol w:w="7920"/>
      </w:tblGrid>
      <w:tr>
        <w:tc>
          <w:tcPr/>
          <w:p>
            <w:pPr>
              <w:pStyle w:val="Compact"/>
              <w:jc w:val="center"/>
            </w:pPr>
            <w:r>
              <w:t xml:space="preserve">./images/horizontal_dipole_response.jpg</w:t>
            </w:r>
          </w:p>
        </w:tc>
      </w:tr>
    </w:tbl>
    <w:p>
      <w:pPr>
        <w:pStyle w:val="FirstParagraph"/>
      </w:pPr>
      <w:r>
        <w:t xml:space="preserve">We therefore notice how two coil configurations couple differently with the</w:t>
      </w:r>
      <w:r>
        <w:t xml:space="preserve"> </w:t>
      </w:r>
      <w:r>
        <w:t xml:space="preserve">ground and have different sensitivities with respect to the conductivity</w:t>
      </w:r>
      <w:r>
        <w:t xml:space="preserve"> </w:t>
      </w:r>
      <w:r>
        <w:t xml:space="preserve">structure.</w:t>
      </w:r>
    </w:p>
    <w:bookmarkEnd w:id="25"/>
    <w:bookmarkStart w:id="26" w:name="cumulative-response-functions"/>
    <w:p>
      <w:pPr>
        <w:pStyle w:val="Heading1"/>
      </w:pPr>
      <w:r>
        <w:t xml:space="preserve">Cumulative Response Functions</w:t>
      </w:r>
    </w:p>
    <w:p>
      <w:pPr>
        <w:pStyle w:val="FirstParagraph"/>
      </w:pPr>
      <w:r>
        <w:t xml:space="preserve">We often have a multi-layer earth (e.g. a thin resistive layer overlying a</w:t>
      </w:r>
      <w:r>
        <w:t xml:space="preserve"> </w:t>
      </w:r>
      <w:r>
        <w:t xml:space="preserve">more conductive stratum, or vice versa) and we would like to estimate the</w:t>
      </w:r>
      <w:r>
        <w:t xml:space="preserve"> </w:t>
      </w:r>
      <w:r>
        <w:t xml:space="preserve">thickness of the layer and the two conductivities. Cumulative response curves</w:t>
      </w:r>
      <w:r>
        <w:t xml:space="preserve"> </w:t>
      </w:r>
      <w:r>
        <w:t xml:space="preserve">are useful for carrying out computations. Define</w:t>
      </w:r>
    </w:p>
    <w:p>
      <w:pPr>
        <w:pStyle w:val="BodyText"/>
      </w:pPr>
      <m:oMathPara>
        <m:oMathParaPr>
          <m:jc m:val="center"/>
        </m:oMathParaPr>
        <m:oMath>
          <m:m>
            <m:mPr>
              <m:baseJc m:val="center"/>
              <m:plcHide m:val="on"/>
              <m:mcs>
                <m:mc>
                  <m:mcPr>
                    <m:mcJc m:val="right"/>
                    <m:count m:val="1"/>
                  </m:mcPr>
                </m:mc>
                <m:mc>
                  <m:mcPr>
                    <m:mcJc m:val="left"/>
                    <m:count m:val="1"/>
                  </m:mcPr>
                </m:mc>
              </m:mcs>
            </m:mPr>
            <m:mr>
              <m:e>
                <m:sSub>
                  <m:e>
                    <m:r>
                      <m:t>R</m:t>
                    </m:r>
                  </m:e>
                  <m:sub>
                    <m:r>
                      <m:t>V</m:t>
                    </m:r>
                  </m:sub>
                </m:sSub>
                <m:d>
                  <m:dPr>
                    <m:begChr m:val="("/>
                    <m:sepChr m:val=""/>
                    <m:endChr m:val=")"/>
                    <m:grow/>
                  </m:dPr>
                  <m:e>
                    <m:r>
                      <m:t>z</m:t>
                    </m:r>
                  </m:e>
                </m:d>
              </m:e>
              <m:e>
                <m:r>
                  <m:rPr>
                    <m:sty m:val="p"/>
                  </m:rPr>
                  <m:t>=</m:t>
                </m:r>
                <m:nary>
                  <m:naryPr>
                    <m:chr m:val="∫"/>
                    <m:limLoc m:val="subSup"/>
                    <m:subHide m:val="off"/>
                    <m:supHide m:val="off"/>
                  </m:naryPr>
                  <m:sub>
                    <m:r>
                      <m:t>z</m:t>
                    </m:r>
                  </m:sub>
                  <m:sup>
                    <m:r>
                      <m:rPr>
                        <m:sty m:val="p"/>
                      </m:rPr>
                      <m:t>∞</m:t>
                    </m:r>
                  </m:sup>
                  <m:e>
                    <m:sSub>
                      <m:e>
                        <m:r>
                          <m:t>ϕ</m:t>
                        </m:r>
                      </m:e>
                      <m:sub>
                        <m:r>
                          <m:t>V</m:t>
                        </m:r>
                      </m:sub>
                    </m:sSub>
                  </m:e>
                </m:nary>
                <m:d>
                  <m:dPr>
                    <m:begChr m:val="("/>
                    <m:sepChr m:val=""/>
                    <m:endChr m:val=")"/>
                    <m:grow/>
                  </m:dPr>
                  <m:e>
                    <m:r>
                      <m:t>z</m:t>
                    </m:r>
                  </m:e>
                </m:d>
                <m:r>
                  <m:t>d</m:t>
                </m:r>
                <m:r>
                  <m:t>z</m:t>
                </m:r>
              </m:e>
            </m:mr>
            <m:mr>
              <m:e>
                <m:sSub>
                  <m:e>
                    <m:r>
                      <m:t>R</m:t>
                    </m:r>
                  </m:e>
                  <m:sub>
                    <m:r>
                      <m:t>H</m:t>
                    </m:r>
                  </m:sub>
                </m:sSub>
                <m:d>
                  <m:dPr>
                    <m:begChr m:val="("/>
                    <m:sepChr m:val=""/>
                    <m:endChr m:val=")"/>
                    <m:grow/>
                  </m:dPr>
                  <m:e>
                    <m:r>
                      <m:t>z</m:t>
                    </m:r>
                  </m:e>
                </m:d>
              </m:e>
              <m:e>
                <m:r>
                  <m:rPr>
                    <m:sty m:val="p"/>
                  </m:rPr>
                  <m:t>=</m:t>
                </m:r>
                <m:nary>
                  <m:naryPr>
                    <m:chr m:val="∫"/>
                    <m:limLoc m:val="subSup"/>
                    <m:subHide m:val="off"/>
                    <m:supHide m:val="off"/>
                  </m:naryPr>
                  <m:sub>
                    <m:r>
                      <m:t>z</m:t>
                    </m:r>
                  </m:sub>
                  <m:sup>
                    <m:r>
                      <m:rPr>
                        <m:sty m:val="p"/>
                      </m:rPr>
                      <m:t>∞</m:t>
                    </m:r>
                  </m:sup>
                  <m:e>
                    <m:sSub>
                      <m:e>
                        <m:r>
                          <m:t>ϕ</m:t>
                        </m:r>
                      </m:e>
                      <m:sub>
                        <m:r>
                          <m:t>H</m:t>
                        </m:r>
                      </m:sub>
                    </m:sSub>
                  </m:e>
                </m:nary>
                <m:d>
                  <m:dPr>
                    <m:begChr m:val="("/>
                    <m:sepChr m:val=""/>
                    <m:endChr m:val=")"/>
                    <m:grow/>
                  </m:dPr>
                  <m:e>
                    <m:r>
                      <m:t>z</m:t>
                    </m:r>
                  </m:e>
                </m:d>
                <m:r>
                  <m:t>d</m:t>
                </m:r>
                <m:r>
                  <m:t>z</m:t>
                </m:r>
              </m:e>
            </m:mr>
          </m:m>
        </m:oMath>
      </m:oMathPara>
    </w:p>
    <w:p>
      <w:pPr>
        <w:pStyle w:val="FirstParagraph"/>
      </w:pPr>
      <w:r>
        <w:t xml:space="preserve">to be the relative contribution to the secondary magnetic field obtained from</w:t>
      </w:r>
      <w:r>
        <w:t xml:space="preserve"> </w:t>
      </w:r>
      <w:r>
        <w:t xml:space="preserve">all of the material below a depth</w:t>
      </w:r>
      <w:r>
        <w:t xml:space="preserve"> </w:t>
      </w:r>
      <m:oMath>
        <m:r>
          <m:t>z</m:t>
        </m:r>
      </m:oMath>
      <w:r>
        <w:t xml:space="preserve">. The diagrams are plotted below:</w:t>
      </w:r>
    </w:p>
    <w:tbl>
      <w:tblPr>
        <w:tblStyle w:val="FigureTable"/>
        <w:tblW w:type="auto" w:w="0"/>
        <w:jc w:val="center"/>
        <w:tblLook w:firstRow="0" w:lastRow="0" w:firstColumn="0" w:lastColumn="0"/>
      </w:tblPr>
      <w:tblGrid>
        <w:gridCol w:w="7920"/>
      </w:tblGrid>
      <w:tr>
        <w:tc>
          <w:tcPr/>
          <w:p>
            <w:pPr>
              <w:pStyle w:val="Compact"/>
              <w:jc w:val="center"/>
            </w:pPr>
            <w:r>
              <w:t xml:space="preserve">./images/cumulative_response.jpg</w:t>
            </w:r>
          </w:p>
        </w:tc>
      </w:tr>
    </w:tbl>
    <w:p>
      <w:pPr>
        <w:pStyle w:val="FirstParagraph"/>
      </w:pPr>
      <w:r>
        <w:t xml:space="preserve">A depth of investigation might be defined as that depth below which only 25%</w:t>
      </w:r>
      <w:r>
        <w:t xml:space="preserve"> </w:t>
      </w:r>
      <w:r>
        <w:t xml:space="preserve">of the signal arises. According to this rule the depth of investigation for</w:t>
      </w:r>
      <w:r>
        <w:t xml:space="preserve"> </w:t>
      </w:r>
      <w:r>
        <w:t xml:space="preserve">the vertical dipole is about 2.0 s while the depth for the horizontal dipole</w:t>
      </w:r>
      <w:r>
        <w:t xml:space="preserve"> </w:t>
      </w:r>
      <w:r>
        <w:t xml:space="preserve">is only half that amount.</w:t>
      </w:r>
    </w:p>
    <w:bookmarkEnd w:id="26"/>
    <w:bookmarkStart w:id="28" w:name="multilayer-earth-structures"/>
    <w:p>
      <w:pPr>
        <w:pStyle w:val="Heading1"/>
      </w:pPr>
      <w:r>
        <w:t xml:space="preserve">Multilayer Earth Structures</w:t>
      </w:r>
    </w:p>
    <w:p>
      <w:pPr>
        <w:pStyle w:val="FirstParagraph"/>
      </w:pPr>
      <w:r>
        <w:t xml:space="preserve">Under the assumption that</w:t>
      </w:r>
      <w:r>
        <w:t xml:space="preserve"> </w:t>
      </w:r>
      <m:oMath>
        <m:r>
          <m:t>s</m:t>
        </m:r>
        <m:r>
          <m:rPr>
            <m:sty m:val="p"/>
          </m:rPr>
          <m:t>&lt;</m:t>
        </m:r>
        <m:r>
          <m:rPr>
            <m:sty m:val="p"/>
          </m:rPr>
          <m:t>&lt;</m:t>
        </m:r>
        <m:r>
          <m:t>δ</m:t>
        </m:r>
      </m:oMath>
      <w:r>
        <w:t xml:space="preserve"> </w:t>
      </w:r>
      <w:r>
        <w:t xml:space="preserve">then the above formulae can be</w:t>
      </w:r>
      <w:r>
        <w:t xml:space="preserve"> </w:t>
      </w:r>
      <w:r>
        <w:t xml:space="preserve">used to predict the apparent conductivity from a multilayered earth, or to</w:t>
      </w:r>
      <w:r>
        <w:t xml:space="preserve"> </w:t>
      </w:r>
      <w:r>
        <w:t xml:space="preserve">used measured apparent conductivities to estimate the individual layer</w:t>
      </w:r>
      <w:r>
        <w:t xml:space="preserve"> </w:t>
      </w:r>
      <w:r>
        <w:t xml:space="preserve">thickness and conductivities. For instance if we coplanar coils on the earth's</w:t>
      </w:r>
      <w:r>
        <w:t xml:space="preserve"> </w:t>
      </w:r>
      <w:r>
        <w:t xml:space="preserve">surface given below</w:t>
      </w:r>
    </w:p>
    <w:tbl>
      <w:tblPr>
        <w:tblStyle w:val="FigureTable"/>
        <w:tblW w:type="auto" w:w="0"/>
        <w:jc w:val="center"/>
        <w:tblLook w:firstRow="0" w:lastRow="0" w:firstColumn="0" w:lastColumn="0"/>
      </w:tblPr>
      <w:tblGrid>
        <w:gridCol w:w="7920"/>
      </w:tblGrid>
      <w:tr>
        <w:tc>
          <w:tcPr/>
          <w:p>
            <w:pPr>
              <w:pStyle w:val="Compact"/>
              <w:jc w:val="center"/>
            </w:pPr>
            <w:r>
              <w:t xml:space="preserve">./images/coplanar_coils.jpg</w:t>
            </w:r>
          </w:p>
        </w:tc>
      </w:tr>
    </w:tbl>
    <w:p>
      <w:pPr>
        <w:pStyle w:val="BodyText"/>
      </w:pPr>
      <w:r>
        <w:t xml:space="preserve">The apparent conductivity would be</w:t>
      </w:r>
    </w:p>
    <w:p>
      <w:pPr>
        <w:pStyle w:val="BodyText"/>
      </w:pPr>
      <m:oMathPara>
        <m:oMathParaPr>
          <m:jc m:val="center"/>
        </m:oMathParaPr>
        <m:oMath>
          <m:m>
            <m:mPr>
              <m:baseJc m:val="center"/>
              <m:plcHide m:val="on"/>
              <m:mcs>
                <m:mc>
                  <m:mcPr>
                    <m:mcJc m:val="right"/>
                    <m:count m:val="1"/>
                  </m:mcPr>
                </m:mc>
                <m:mc>
                  <m:mcPr>
                    <m:mcJc m:val="left"/>
                    <m:count m:val="1"/>
                  </m:mcPr>
                </m:mc>
              </m:mcs>
            </m:mPr>
            <m:mr>
              <m:e>
                <m:sSub>
                  <m:e>
                    <m:r>
                      <m:t>σ</m:t>
                    </m:r>
                  </m:e>
                  <m:sub>
                    <m:r>
                      <m:t>a</m:t>
                    </m:r>
                  </m:sub>
                </m:sSub>
              </m:e>
              <m:e>
                <m:r>
                  <m:rPr>
                    <m:sty m:val="p"/>
                  </m:rPr>
                  <m:t>=</m:t>
                </m:r>
                <m:nary>
                  <m:naryPr>
                    <m:chr m:val="∫"/>
                    <m:limLoc m:val="subSup"/>
                    <m:subHide m:val="off"/>
                    <m:supHide m:val="off"/>
                  </m:naryPr>
                  <m:sub>
                    <m:r>
                      <m:t>0</m:t>
                    </m:r>
                  </m:sub>
                  <m:sup>
                    <m:r>
                      <m:t>h</m:t>
                    </m:r>
                  </m:sup>
                  <m:e>
                    <m:sSub>
                      <m:e>
                        <m:r>
                          <m:t>σ</m:t>
                        </m:r>
                      </m:e>
                      <m:sub>
                        <m:r>
                          <m:t>1</m:t>
                        </m:r>
                      </m:sub>
                    </m:sSub>
                  </m:e>
                </m:nary>
                <m:sSub>
                  <m:e>
                    <m:r>
                      <m:t>ϕ</m:t>
                    </m:r>
                  </m:e>
                  <m:sub>
                    <m:r>
                      <m:t>V</m:t>
                    </m:r>
                  </m:sub>
                </m:sSub>
                <m:d>
                  <m:dPr>
                    <m:begChr m:val="("/>
                    <m:sepChr m:val=""/>
                    <m:endChr m:val=")"/>
                    <m:grow/>
                  </m:dPr>
                  <m:e>
                    <m:r>
                      <m:t>z</m:t>
                    </m:r>
                  </m:e>
                </m:d>
                <m:r>
                  <m:t>d</m:t>
                </m:r>
                <m:r>
                  <m:t>z</m:t>
                </m:r>
                <m:r>
                  <m:rPr>
                    <m:sty m:val="p"/>
                  </m:rPr>
                  <m:t>+</m:t>
                </m:r>
                <m:nary>
                  <m:naryPr>
                    <m:chr m:val="∫"/>
                    <m:limLoc m:val="subSup"/>
                    <m:subHide m:val="off"/>
                    <m:supHide m:val="off"/>
                  </m:naryPr>
                  <m:sub>
                    <m:r>
                      <m:t>h</m:t>
                    </m:r>
                  </m:sub>
                  <m:sup>
                    <m:r>
                      <m:rPr>
                        <m:sty m:val="p"/>
                      </m:rPr>
                      <m:t>∞</m:t>
                    </m:r>
                  </m:sup>
                  <m:e>
                    <m:sSub>
                      <m:e>
                        <m:r>
                          <m:t>σ</m:t>
                        </m:r>
                      </m:e>
                      <m:sub>
                        <m:r>
                          <m:t>2</m:t>
                        </m:r>
                      </m:sub>
                    </m:sSub>
                  </m:e>
                </m:nary>
                <m:sSub>
                  <m:e>
                    <m:r>
                      <m:t>ϕ</m:t>
                    </m:r>
                  </m:e>
                  <m:sub>
                    <m:r>
                      <m:t>V</m:t>
                    </m:r>
                  </m:sub>
                </m:sSub>
                <m:d>
                  <m:dPr>
                    <m:begChr m:val="("/>
                    <m:sepChr m:val=""/>
                    <m:endChr m:val=")"/>
                    <m:grow/>
                  </m:dPr>
                  <m:e>
                    <m:r>
                      <m:t>z</m:t>
                    </m:r>
                  </m:e>
                </m:d>
                <m:r>
                  <m:t>d</m:t>
                </m:r>
                <m:r>
                  <m:t>z</m:t>
                </m:r>
              </m:e>
            </m:mr>
            <m:mr>
              <m:e/>
              <m:e>
                <m:r>
                  <m:rPr>
                    <m:sty m:val="p"/>
                  </m:rPr>
                  <m:t>=</m:t>
                </m:r>
                <m:sSub>
                  <m:e>
                    <m:r>
                      <m:t>σ</m:t>
                    </m:r>
                  </m:e>
                  <m:sub>
                    <m:r>
                      <m:t>1</m:t>
                    </m:r>
                  </m:sub>
                </m:sSub>
                <m:d>
                  <m:dPr>
                    <m:begChr m:val="("/>
                    <m:sepChr m:val=""/>
                    <m:endChr m:val=")"/>
                    <m:grow/>
                  </m:dPr>
                  <m:e>
                    <m:r>
                      <m:t>1</m:t>
                    </m:r>
                    <m:r>
                      <m:rPr>
                        <m:sty m:val="p"/>
                      </m:rPr>
                      <m:t>−</m:t>
                    </m:r>
                    <m:sSub>
                      <m:e>
                        <m:r>
                          <m:t>R</m:t>
                        </m:r>
                      </m:e>
                      <m:sub>
                        <m:r>
                          <m:t>V</m:t>
                        </m:r>
                      </m:sub>
                    </m:sSub>
                    <m:d>
                      <m:dPr>
                        <m:begChr m:val="("/>
                        <m:sepChr m:val=""/>
                        <m:endChr m:val=")"/>
                        <m:grow/>
                      </m:dPr>
                      <m:e>
                        <m:r>
                          <m:t>h</m:t>
                        </m:r>
                      </m:e>
                    </m:d>
                  </m:e>
                </m:d>
                <m:r>
                  <m:rPr>
                    <m:sty m:val="p"/>
                  </m:rPr>
                  <m:t>+</m:t>
                </m:r>
                <m:sSub>
                  <m:e>
                    <m:r>
                      <m:t>σ</m:t>
                    </m:r>
                  </m:e>
                  <m:sub>
                    <m:r>
                      <m:t>2</m:t>
                    </m:r>
                  </m:sub>
                </m:sSub>
                <m:sSub>
                  <m:e>
                    <m:r>
                      <m:t>R</m:t>
                    </m:r>
                  </m:e>
                  <m:sub>
                    <m:r>
                      <m:t>V</m:t>
                    </m:r>
                  </m:sub>
                </m:sSub>
                <m:d>
                  <m:dPr>
                    <m:begChr m:val="("/>
                    <m:sepChr m:val=""/>
                    <m:endChr m:val=")"/>
                    <m:grow/>
                  </m:dPr>
                  <m:e>
                    <m:r>
                      <m:t>h</m:t>
                    </m:r>
                  </m:e>
                </m:d>
              </m:e>
            </m:mr>
          </m:m>
        </m:oMath>
      </m:oMathPara>
    </w:p>
    <w:p>
      <w:pPr>
        <w:pStyle w:val="FirstParagraph"/>
      </w:pPr>
      <w:r>
        <w:t xml:space="preserve">Either the curves shown previously or the following formulae are therefore useful:</w:t>
      </w:r>
    </w:p>
    <w:p>
      <w:pPr>
        <w:pStyle w:val="BodyText"/>
      </w:pPr>
      <m:oMathPara>
        <m:oMathParaPr>
          <m:jc m:val="center"/>
        </m:oMathParaPr>
        <m:oMath>
          <m:m>
            <m:mPr>
              <m:baseJc m:val="center"/>
              <m:plcHide m:val="on"/>
              <m:mcs>
                <m:mc>
                  <m:mcPr>
                    <m:mcJc m:val="right"/>
                    <m:count m:val="1"/>
                  </m:mcPr>
                </m:mc>
                <m:mc>
                  <m:mcPr>
                    <m:mcJc m:val="left"/>
                    <m:count m:val="1"/>
                  </m:mcPr>
                </m:mc>
              </m:mcs>
            </m:mPr>
            <m:mr>
              <m:e>
                <m:sSub>
                  <m:e>
                    <m:r>
                      <m:t>ϕ</m:t>
                    </m:r>
                  </m:e>
                  <m:sub>
                    <m:r>
                      <m:t>V</m:t>
                    </m:r>
                  </m:sub>
                </m:sSub>
                <m:d>
                  <m:dPr>
                    <m:begChr m:val="("/>
                    <m:sepChr m:val=""/>
                    <m:endChr m:val=")"/>
                    <m:grow/>
                  </m:dPr>
                  <m:e>
                    <m:r>
                      <m:t>z</m:t>
                    </m:r>
                  </m:e>
                </m:d>
              </m:e>
              <m:e>
                <m:r>
                  <m:rPr>
                    <m:sty m:val="p"/>
                  </m:rPr>
                  <m:t>=</m:t>
                </m:r>
                <m:f>
                  <m:fPr>
                    <m:type m:val="bar"/>
                  </m:fPr>
                  <m:num>
                    <m:r>
                      <m:t>4</m:t>
                    </m:r>
                    <m:r>
                      <m:t>z</m:t>
                    </m:r>
                  </m:num>
                  <m:den>
                    <m:sSup>
                      <m:e>
                        <m:d>
                          <m:dPr>
                            <m:begChr m:val="("/>
                            <m:sepChr m:val=""/>
                            <m:endChr m:val=")"/>
                            <m:grow/>
                          </m:dPr>
                          <m:e>
                            <m:r>
                              <m:t>4</m:t>
                            </m:r>
                            <m:sSup>
                              <m:e>
                                <m:r>
                                  <m:t>z</m:t>
                                </m:r>
                              </m:e>
                              <m:sup>
                                <m:r>
                                  <m:t>2</m:t>
                                </m:r>
                              </m:sup>
                            </m:sSup>
                            <m:r>
                              <m:rPr>
                                <m:sty m:val="p"/>
                              </m:rPr>
                              <m:t>+</m:t>
                            </m:r>
                            <m:r>
                              <m:t>1</m:t>
                            </m:r>
                          </m:e>
                        </m:d>
                      </m:e>
                      <m:sup>
                        <m:r>
                          <m:t>3</m:t>
                        </m:r>
                        <m:r>
                          <m:rPr>
                            <m:sty m:val="p"/>
                          </m:rPr>
                          <m:t>/</m:t>
                        </m:r>
                        <m:r>
                          <m:t>2</m:t>
                        </m:r>
                      </m:sup>
                    </m:sSup>
                  </m:den>
                </m:f>
              </m:e>
            </m:mr>
            <m:mr>
              <m:e>
                <m:sSub>
                  <m:e>
                    <m:r>
                      <m:t>ϕ</m:t>
                    </m:r>
                  </m:e>
                  <m:sub>
                    <m:r>
                      <m:t>H</m:t>
                    </m:r>
                  </m:sub>
                </m:sSub>
                <m:d>
                  <m:dPr>
                    <m:begChr m:val="("/>
                    <m:sepChr m:val=""/>
                    <m:endChr m:val=")"/>
                    <m:grow/>
                  </m:dPr>
                  <m:e>
                    <m:r>
                      <m:t>z</m:t>
                    </m:r>
                  </m:e>
                </m:d>
              </m:e>
              <m:e>
                <m:r>
                  <m:rPr>
                    <m:sty m:val="p"/>
                  </m:rPr>
                  <m:t>=</m:t>
                </m:r>
                <m:r>
                  <m:t>2</m:t>
                </m:r>
                <m:r>
                  <m:rPr>
                    <m:sty m:val="p"/>
                  </m:rPr>
                  <m:t>−</m:t>
                </m:r>
                <m:f>
                  <m:fPr>
                    <m:type m:val="bar"/>
                  </m:fPr>
                  <m:num>
                    <m:r>
                      <m:t>4</m:t>
                    </m:r>
                    <m:r>
                      <m:t>z</m:t>
                    </m:r>
                  </m:num>
                  <m:den>
                    <m:sSup>
                      <m:e>
                        <m:d>
                          <m:dPr>
                            <m:begChr m:val="("/>
                            <m:sepChr m:val=""/>
                            <m:endChr m:val=")"/>
                            <m:grow/>
                          </m:dPr>
                          <m:e>
                            <m:r>
                              <m:t>4</m:t>
                            </m:r>
                            <m:sSup>
                              <m:e>
                                <m:r>
                                  <m:t>z</m:t>
                                </m:r>
                              </m:e>
                              <m:sup>
                                <m:r>
                                  <m:t>2</m:t>
                                </m:r>
                              </m:sup>
                            </m:sSup>
                            <m:r>
                              <m:rPr>
                                <m:sty m:val="p"/>
                              </m:rPr>
                              <m:t>+</m:t>
                            </m:r>
                            <m:r>
                              <m:t>1</m:t>
                            </m:r>
                          </m:e>
                        </m:d>
                      </m:e>
                      <m:sup>
                        <m:r>
                          <m:t>1</m:t>
                        </m:r>
                        <m:r>
                          <m:rPr>
                            <m:sty m:val="p"/>
                          </m:rPr>
                          <m:t>/</m:t>
                        </m:r>
                        <m:r>
                          <m:t>2</m:t>
                        </m:r>
                      </m:sup>
                    </m:sSup>
                  </m:den>
                </m:f>
              </m:e>
            </m:mr>
            <m:mr>
              <m:e>
                <m:sSub>
                  <m:e>
                    <m:r>
                      <m:t>R</m:t>
                    </m:r>
                  </m:e>
                  <m:sub>
                    <m:r>
                      <m:t>V</m:t>
                    </m:r>
                  </m:sub>
                </m:sSub>
              </m:e>
              <m:e>
                <m:r>
                  <m:rPr>
                    <m:sty m:val="p"/>
                  </m:rPr>
                  <m:t>=</m:t>
                </m:r>
                <m:f>
                  <m:fPr>
                    <m:type m:val="bar"/>
                  </m:fPr>
                  <m:num>
                    <m:r>
                      <m:t>1</m:t>
                    </m:r>
                  </m:num>
                  <m:den>
                    <m:sSup>
                      <m:e>
                        <m:d>
                          <m:dPr>
                            <m:begChr m:val="("/>
                            <m:sepChr m:val=""/>
                            <m:endChr m:val=")"/>
                            <m:grow/>
                          </m:dPr>
                          <m:e>
                            <m:r>
                              <m:t>4</m:t>
                            </m:r>
                            <m:sSup>
                              <m:e>
                                <m:r>
                                  <m:t>z</m:t>
                                </m:r>
                              </m:e>
                              <m:sup>
                                <m:r>
                                  <m:t>2</m:t>
                                </m:r>
                              </m:sup>
                            </m:sSup>
                            <m:r>
                              <m:rPr>
                                <m:sty m:val="p"/>
                              </m:rPr>
                              <m:t>+</m:t>
                            </m:r>
                            <m:r>
                              <m:t>1</m:t>
                            </m:r>
                          </m:e>
                        </m:d>
                      </m:e>
                      <m:sup>
                        <m:r>
                          <m:t>1</m:t>
                        </m:r>
                        <m:r>
                          <m:rPr>
                            <m:sty m:val="p"/>
                          </m:rPr>
                          <m:t>/</m:t>
                        </m:r>
                        <m:r>
                          <m:t>2</m:t>
                        </m:r>
                      </m:sup>
                    </m:sSup>
                  </m:den>
                </m:f>
              </m:e>
            </m:mr>
            <m:mr>
              <m:e>
                <m:sSub>
                  <m:e>
                    <m:r>
                      <m:t>R</m:t>
                    </m:r>
                  </m:e>
                  <m:sub>
                    <m:r>
                      <m:t>H</m:t>
                    </m:r>
                  </m:sub>
                </m:sSub>
              </m:e>
              <m:e>
                <m:r>
                  <m:rPr>
                    <m:sty m:val="p"/>
                  </m:rPr>
                  <m:t>=</m:t>
                </m:r>
                <m:sSup>
                  <m:e>
                    <m:d>
                      <m:dPr>
                        <m:begChr m:val="("/>
                        <m:sepChr m:val=""/>
                        <m:endChr m:val=")"/>
                        <m:grow/>
                      </m:dPr>
                      <m:e>
                        <m:r>
                          <m:t>4</m:t>
                        </m:r>
                        <m:sSup>
                          <m:e>
                            <m:r>
                              <m:t>z</m:t>
                            </m:r>
                          </m:e>
                          <m:sup>
                            <m:r>
                              <m:t>2</m:t>
                            </m:r>
                          </m:sup>
                        </m:sSup>
                        <m:r>
                          <m:rPr>
                            <m:sty m:val="p"/>
                          </m:rPr>
                          <m:t>+</m:t>
                        </m:r>
                        <m:r>
                          <m:t>1</m:t>
                        </m:r>
                      </m:e>
                    </m:d>
                  </m:e>
                  <m:sup>
                    <m:r>
                      <m:t>1</m:t>
                    </m:r>
                    <m:r>
                      <m:rPr>
                        <m:sty m:val="p"/>
                      </m:rPr>
                      <m:t>/</m:t>
                    </m:r>
                    <m:r>
                      <m:t>2</m:t>
                    </m:r>
                  </m:sup>
                </m:sSup>
                <m:r>
                  <m:rPr>
                    <m:sty m:val="p"/>
                  </m:rPr>
                  <m:t>−</m:t>
                </m:r>
                <m:r>
                  <m:t>2</m:t>
                </m:r>
                <m:r>
                  <m:t>z</m:t>
                </m:r>
              </m:e>
            </m:mr>
            <m:mr>
              <m:e/>
            </m:mr>
          </m:m>
        </m:oMath>
      </m:oMathPara>
    </w:p>
    <w:p>
      <w:pPr>
        <w:pStyle w:val="FirstParagraph"/>
      </w:pPr>
      <w:r>
        <w:t xml:space="preserve">You can explore the response of a multilayered earth further using the</w:t>
      </w:r>
      <w:r>
        <w:t xml:space="preserve"> </w:t>
      </w:r>
      <w:hyperlink r:id="rId27">
        <w:r>
          <w:rPr>
            <w:rStyle w:val="Hyperlink"/>
          </w:rPr>
          <w:t xml:space="preserve">layered earth response app</w:t>
        </w:r>
      </w:hyperlink>
      <w:r>
        <w:t xml:space="preserve">.</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mybinder.org/v2/gh/geoscixyz/gpgLabs/main?filepath=notebooks%2FEM_EM31.ipynb" TargetMode="External" /></Relationships>
</file>

<file path=word/_rels/footnotes.xml.rels><?xml version="1.0" encoding="UTF-8"?><Relationships xmlns="http://schemas.openxmlformats.org/package/2006/relationships"><Relationship Type="http://schemas.openxmlformats.org/officeDocument/2006/relationships/hyperlink" Id="rId27" Target="https://mybinder.org/v2/gh/geoscixyz/gpgLabs/main?filepath=notebooks%2FEM_EM31.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dc:title>
  <dc:creator/>
  <cp:keywords/>
  <dcterms:created xsi:type="dcterms:W3CDTF">2025-01-16T09:28:56Z</dcterms:created>
  <dcterms:modified xsi:type="dcterms:W3CDTF">2025-01-16T09:28:56Z</dcterms:modified>
</cp:coreProperties>
</file>

<file path=docProps/custom.xml><?xml version="1.0" encoding="utf-8"?>
<Properties xmlns="http://schemas.openxmlformats.org/officeDocument/2006/custom-properties" xmlns:vt="http://schemas.openxmlformats.org/officeDocument/2006/docPropsVTypes"/>
</file>