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Gravity measurements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./images/gravity_table.gif</w:t>
            </w:r>
          </w:p>
        </w:tc>
      </w:tr>
    </w:tbl>
    <w:bookmarkStart w:id="20" w:name="the-physical-property-density"/>
    <w:p>
      <w:pPr>
        <w:pStyle w:val="Heading1"/>
      </w:pPr>
      <w:r>
        <w:t xml:space="preserve">The physical property: density</w:t>
      </w:r>
    </w:p>
    <w:p>
      <w:pPr>
        <w:pStyle w:val="FirstParagraph"/>
      </w:pPr>
      <w:r>
        <w:t xml:space="preserve">Gravity surveys are usually done to find subsurface variations in density</w:t>
      </w:r>
      <w:r>
        <w:t xml:space="preserve"> </w:t>
      </w:r>
      <w:r>
        <w:t xml:space="preserve">(kg/m</w:t>
      </w:r>
      <w:r>
        <w:rPr>
          <w:vertAlign w:val="superscript"/>
        </w:rPr>
        <w:t xml:space="preserve">3</w:t>
      </w:r>
      <w:r>
        <w:t xml:space="preserve"> </w:t>
      </w:r>
      <w:r>
        <w:t xml:space="preserve">or g/cm</w:t>
      </w:r>
      <w:r>
        <w:rPr>
          <w:vertAlign w:val="superscript"/>
        </w:rPr>
        <w:t xml:space="preserve">3</w:t>
      </w:r>
      <w:r>
        <w:t xml:space="preserve">). Densities of geologic materials vary</w:t>
      </w:r>
      <w:r>
        <w:t xml:space="preserve"> </w:t>
      </w:r>
      <w:r>
        <w:t xml:space="preserve">from 880 kg/m</w:t>
      </w:r>
      <w:r>
        <w:rPr>
          <w:vertAlign w:val="superscript"/>
        </w:rPr>
        <w:t xml:space="preserve">3</w:t>
      </w:r>
      <w:r>
        <w:t xml:space="preserve"> </w:t>
      </w:r>
      <w:r>
        <w:t xml:space="preserve">(ice) (or 0 for air) to over 8000 kg/m</w:t>
      </w:r>
      <w:r>
        <w:rPr>
          <w:vertAlign w:val="superscript"/>
        </w:rPr>
        <w:t xml:space="preserve">3</w:t>
      </w:r>
      <w:r>
        <w:t xml:space="preserve">for some rare minerals. Rocks are generally between 1600 kg/m</w:t>
      </w:r>
      <w:r>
        <w:rPr>
          <w:vertAlign w:val="superscript"/>
        </w:rPr>
        <w:t xml:space="preserve">3</w:t>
      </w:r>
      <w:r>
        <w:t xml:space="preserve">(sediments) and 3500 kg/m</w:t>
      </w:r>
      <w:r>
        <w:rPr>
          <w:vertAlign w:val="superscript"/>
        </w:rPr>
        <w:t xml:space="preserve">3</w:t>
      </w:r>
      <w:r>
        <w:t xml:space="preserve"> </w:t>
      </w:r>
      <w:r>
        <w:t xml:space="preserve">(gabbro). Table 2.1 from PV Sharma is</w:t>
      </w:r>
      <w:r>
        <w:t xml:space="preserve"> </w:t>
      </w:r>
      <w:r>
        <w:t xml:space="preserve">reproduced to the right.</w:t>
      </w:r>
    </w:p>
    <w:p>
      <w:pPr>
        <w:pStyle w:val="BodyText"/>
      </w:pPr>
      <w:r>
        <w:t xml:space="preserve">It is important to recall the difference between mass, density and weight.</w:t>
      </w:r>
      <w:r>
        <w:t xml:space="preserve"> </w:t>
      </w:r>
      <w:r>
        <w:t xml:space="preserve">Density is the physical property - it is mass (kilograms) per unit volume.</w:t>
      </w:r>
      <w:r>
        <w:t xml:space="preserve"> </w:t>
      </w:r>
      <w:r>
        <w:t xml:space="preserve">Weight is the force experienced by that mass in the presence of a</w:t>
      </w:r>
      <w:r>
        <w:t xml:space="preserve"> </w:t>
      </w:r>
      <w:r>
        <w:t xml:space="preserve">gravitational field. Your weight on the Moon is 1/6th of your weight on Earth,</w:t>
      </w:r>
      <w:r>
        <w:t xml:space="preserve"> </w:t>
      </w:r>
      <w:r>
        <w:t xml:space="preserve">but your mass (and density) is the same wherever you are.</w:t>
      </w:r>
    </w:p>
    <w:bookmarkEnd w:id="20"/>
    <w:bookmarkStart w:id="21" w:name="fundamentals"/>
    <w:p>
      <w:pPr>
        <w:pStyle w:val="Heading1"/>
      </w:pPr>
      <w:r>
        <w:t xml:space="preserve">Fundamentals</w:t>
      </w:r>
    </w:p>
    <w:p>
      <w:pPr>
        <w:pStyle w:val="FirstParagraph"/>
      </w:pPr>
      <w:r>
        <w:t xml:space="preserve">We want to show that a mass above the earth experiences an attraction force</w:t>
      </w:r>
      <w:r>
        <w:t xml:space="preserve"> </w:t>
      </w:r>
      <w:r>
        <w:t xml:space="preserve">due to Earth's gravitational field. The phenomenon is described with very</w:t>
      </w:r>
      <w:r>
        <w:t xml:space="preserve"> </w:t>
      </w:r>
      <w:r>
        <w:t xml:space="preserve">simple equations that were discovered empirically by Sir Isaac Newton in the</w:t>
      </w:r>
      <w:r>
        <w:t xml:space="preserve"> </w:t>
      </w:r>
      <w:r>
        <w:t xml:space="preserve">17</w:t>
      </w:r>
      <w:r>
        <w:rPr>
          <w:vertAlign w:val="superscript"/>
        </w:rPr>
        <w:t xml:space="preserve">th</w:t>
      </w:r>
      <w:r>
        <w:t xml:space="preserve"> </w:t>
      </w:r>
      <w:r>
        <w:t xml:space="preserve">century.</w:t>
      </w:r>
    </w:p>
    <w:p>
      <w:pPr>
        <w:pStyle w:val="BodyText"/>
      </w:pPr>
      <w:r>
        <w:t xml:space="preserve">Newton's equation describing the force between two masses (Earth and Moon, or</w:t>
      </w:r>
      <w:r>
        <w:t xml:space="preserve"> </w:t>
      </w:r>
      <w:r>
        <w:t xml:space="preserve">Earth and you) is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=</m:t>
          </m:r>
          <m:r>
            <m:t>G</m:t>
          </m:r>
          <m:f>
            <m:fPr>
              <m:type m:val="bar"/>
            </m:fPr>
            <m:num>
              <m:r>
                <m:t>M</m:t>
              </m:r>
              <m:r>
                <m:t>m</m:t>
              </m:r>
            </m:num>
            <m:den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  </m:t>
          </m:r>
          <m:r>
            <m:rPr>
              <m:nor/>
              <m:sty m:val="p"/>
            </m:rPr>
            <m:t>(Eq1)</m:t>
          </m:r>
        </m:oMath>
      </m:oMathPara>
    </w:p>
    <w:p>
      <w:pPr>
        <w:pStyle w:val="FirstParagraph"/>
      </w:pPr>
      <w:r>
        <w:t xml:space="preserve">where the force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points from one mass to the other,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are two masses, and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6.67</m:t>
        </m:r>
        <m:r>
          <m:rPr>
            <m:sty m:val="p"/>
          </m:rPr>
          <m:t>*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11</m:t>
            </m:r>
          </m:sup>
        </m:sSup>
      </m:oMath>
      <w:r>
        <w:t xml:space="preserve"> </w:t>
      </w:r>
      <w:r>
        <w:t xml:space="preserve">Nm</w:t>
      </w:r>
      <w:r>
        <w:rPr>
          <w:vertAlign w:val="superscript"/>
        </w:rPr>
        <w:t xml:space="preserve">2</w:t>
      </w:r>
      <w:r>
        <w:t xml:space="preserve">/Kg</w:t>
      </w:r>
      <w:r>
        <w:rPr>
          <w:vertAlign w:val="superscript"/>
        </w:rPr>
        <w:t xml:space="preserve">2</w:t>
      </w:r>
      <w:r>
        <w:t xml:space="preserve">. You</w:t>
      </w:r>
      <w:r>
        <w:t xml:space="preserve"> </w:t>
      </w:r>
      <w:r>
        <w:t xml:space="preserve">should recall that another of Newton's relations characterizes the force on an</w:t>
      </w:r>
      <w:r>
        <w:t xml:space="preserve"> </w:t>
      </w:r>
      <w:r>
        <w:t xml:space="preserve">object experiencing acceleration: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=</m:t>
          </m:r>
          <m:r>
            <m:t>m</m:t>
          </m:r>
          <m:r>
            <m:t>a</m:t>
          </m:r>
          <m:r>
            <m:t>  </m:t>
          </m:r>
          <m:r>
            <m:rPr>
              <m:nor/>
              <m:sty m:val="p"/>
            </m:rPr>
            <m:t>(Eq2)</m:t>
          </m:r>
        </m:oMath>
      </m:oMathPara>
    </w:p>
    <w:p>
      <w:pPr>
        <w:pStyle w:val="FirstParagraph"/>
      </w:pPr>
      <w:r>
        <w:t xml:space="preserve">Comparing these two equations, it should be clear that most of Eq1 represents</w:t>
      </w:r>
      <w:r>
        <w:t xml:space="preserve"> </w:t>
      </w:r>
      <w:r>
        <w:t xml:space="preserve">an acceleration: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G</m:t>
        </m:r>
        <m:r>
          <m:t>M</m:t>
        </m:r>
        <m:r>
          <m:rPr>
            <m:sty m:val="p"/>
          </m:rPr>
          <m:t>/</m:t>
        </m:r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 In fact this is gravitational</w:t>
      </w:r>
      <w:r>
        <w:t xml:space="preserve"> </w:t>
      </w:r>
      <w:r>
        <w:t xml:space="preserve">acceleration, and we call it</w:t>
      </w:r>
      <w:r>
        <w:t xml:space="preserve"> </w:t>
      </w:r>
      <m:oMath>
        <m:r>
          <m:t>g</m:t>
        </m:r>
      </m:oMath>
      <w:r>
        <w:t xml:space="preserve">. This gravitational acceleration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is nominally approximately 9.8 m/s</w:t>
      </w:r>
      <w:r>
        <w:rPr>
          <w:vertAlign w:val="superscript"/>
        </w:rPr>
        <w:t xml:space="preserve">2</w:t>
      </w:r>
      <w:r>
        <w:t xml:space="preserve"> </w:t>
      </w:r>
      <w:r>
        <w:t xml:space="preserve">on Earth's surface at the</w:t>
      </w:r>
      <w:r>
        <w:t xml:space="preserve"> </w:t>
      </w:r>
      <w:r>
        <w:t xml:space="preserve">equator. Local variations in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will be caused by local variations in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and/or in</w:t>
      </w:r>
      <w:r>
        <w:t xml:space="preserve"> </w:t>
      </w:r>
      <m:oMath>
        <m:r>
          <m:t>r</m:t>
        </m:r>
      </m:oMath>
      <w:r>
        <w:t xml:space="preserve">.</w:t>
      </w:r>
    </w:p>
    <w:bookmarkEnd w:id="21"/>
    <w:bookmarkStart w:id="22" w:name="units"/>
    <w:p>
      <w:pPr>
        <w:pStyle w:val="Heading1"/>
      </w:pPr>
      <w:r>
        <w:t xml:space="preserve">Units</w:t>
      </w:r>
    </w:p>
    <w:p>
      <w:pPr>
        <w:pStyle w:val="FirstParagraph"/>
      </w:pPr>
      <w:r>
        <w:t xml:space="preserve">What are the units for this acceleration, or</w:t>
      </w:r>
      <w:r>
        <w:t xml:space="preserve"> </w:t>
      </w:r>
      <m:oMath>
        <m:r>
          <m:t>g</m:t>
        </m:r>
      </m:oMath>
      <w:r>
        <w:t xml:space="preserve">? Acceleration is in m/s</w:t>
      </w:r>
      <w:r>
        <w:rPr>
          <w:vertAlign w:val="superscript"/>
        </w:rPr>
        <w:t xml:space="preserve">2</w:t>
      </w:r>
      <w:r>
        <w:t xml:space="preserve">, but another name for g = 1 cm/s</w:t>
      </w:r>
      <w:r>
        <w:rPr>
          <w:vertAlign w:val="superscript"/>
        </w:rPr>
        <w:t xml:space="preserve">2</w:t>
      </w:r>
      <w:r>
        <w:t xml:space="preserve"> </w:t>
      </w:r>
      <w:r>
        <w:t xml:space="preserve">is 1 Gal (short for</w:t>
      </w:r>
      <w:r>
        <w:t xml:space="preserve"> </w:t>
      </w:r>
      <w:r>
        <w:t xml:space="preserve">Galileo). Usually geophysicists work in units of milliGals (0.001 Gal). You</w:t>
      </w:r>
      <w:r>
        <w:t xml:space="preserve"> </w:t>
      </w:r>
      <w:r>
        <w:t xml:space="preserve">will also see the "gravity unit," or</w:t>
      </w:r>
      <w:r>
        <w:t xml:space="preserve"> </w:t>
      </w:r>
      <w:r>
        <w:rPr>
          <w:i/>
          <w:iCs/>
        </w:rPr>
        <w:t xml:space="preserve">gu</w:t>
      </w:r>
      <w:r>
        <w:t xml:space="preserve">, where 1 gu = 0.1 mGal. Some</w:t>
      </w:r>
      <w:r>
        <w:t xml:space="preserve"> </w:t>
      </w:r>
      <w:r>
        <w:t xml:space="preserve">authors, especially in Europe, use gu's instead of Gals. Earth's gravitational</w:t>
      </w:r>
      <w:r>
        <w:t xml:space="preserve"> </w:t>
      </w:r>
      <w:r>
        <w:t xml:space="preserve">acceleration in these units (converted from the more common m/s</w:t>
      </w:r>
      <w:r>
        <w:rPr>
          <w:vertAlign w:val="superscript"/>
        </w:rPr>
        <w:t xml:space="preserve">2</w:t>
      </w:r>
      <w:r>
        <w:t xml:space="preserve">) is</w:t>
      </w:r>
      <w:r>
        <w:t xml:space="preserve"> </w:t>
      </w:r>
      <w:r>
        <w:t xml:space="preserve">9.8 m/s</w:t>
      </w:r>
      <w:r>
        <w:rPr>
          <w:vertAlign w:val="superscript"/>
        </w:rPr>
        <w:t xml:space="preserve">2</w:t>
      </w:r>
      <w:r>
        <w:t xml:space="preserve">= 978 Gal, or 978,031.85 mGal, or 9,780,318.5 gu at the</w:t>
      </w:r>
      <w:r>
        <w:t xml:space="preserve"> </w:t>
      </w:r>
      <w:r>
        <w:t xml:space="preserve">equator.</w:t>
      </w:r>
    </w:p>
    <w:bookmarkEnd w:id="22"/>
    <w:bookmarkStart w:id="23" w:name="measuring-gravity"/>
    <w:p>
      <w:pPr>
        <w:pStyle w:val="Heading1"/>
      </w:pPr>
      <w:r>
        <w:t xml:space="preserve">Measuring gravity</w:t>
      </w:r>
    </w:p>
    <w:p>
      <w:pPr>
        <w:pStyle w:val="FirstParagraph"/>
      </w:pPr>
      <w:r>
        <w:t xml:space="preserve">Measurable geophysical gravity anomalies generally range between 0.1 and</w:t>
      </w:r>
      <w:r>
        <w:t xml:space="preserve"> </w:t>
      </w:r>
      <w:r>
        <w:t xml:space="preserve">0.00001 Gal. This means we must measure accelerations of</w:t>
      </w:r>
      <w:r>
        <w:t xml:space="preserve"> </w:t>
      </w:r>
      <w:r>
        <w:t xml:space="preserve">1 part in 10</w:t>
      </w:r>
      <w:r>
        <w:t xml:space="preserve"> </w:t>
      </w:r>
      <w:r>
        <w:rPr>
          <w:vertAlign w:val="superscript"/>
        </w:rPr>
        <w:t xml:space="preserve">8</w:t>
      </w:r>
      <w:r>
        <w:t xml:space="preserve"> </w:t>
      </w:r>
      <w:r>
        <w:t xml:space="preserve">or 10</w:t>
      </w:r>
      <w:r>
        <w:t xml:space="preserve"> </w:t>
      </w:r>
      <w:r>
        <w:rPr>
          <w:vertAlign w:val="superscript"/>
        </w:rPr>
        <w:t xml:space="preserve">9</w:t>
      </w:r>
      <w:r>
        <w:t xml:space="preserve">; not a trivial task!</w:t>
      </w:r>
      <w:r>
        <w:t xml:space="preserve"> </w:t>
      </w:r>
      <w:r>
        <w:t xml:space="preserve">How is this done?</w:t>
      </w:r>
    </w:p>
    <w:p>
      <w:pPr>
        <w:pStyle w:val="BodyText"/>
      </w:pPr>
      <w:r>
        <w:t xml:space="preserve">If a mass hangs on a spring, a force on the mass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F</m:t>
            </m:r>
            <m:r>
              <m:rPr>
                <m:sty m:val="p"/>
              </m:rPr>
              <m:t>=</m:t>
            </m:r>
            <m:r>
              <m:t>m</m:t>
            </m:r>
            <m:r>
              <m:t>a</m:t>
            </m:r>
          </m:e>
        </m:d>
      </m:oMath>
      <w:r>
        <w:t xml:space="preserve"> </w:t>
      </w:r>
      <w:r>
        <w:t xml:space="preserve">will stretch</w:t>
      </w:r>
      <w:r>
        <w:t xml:space="preserve"> </w:t>
      </w:r>
      <w:r>
        <w:t xml:space="preserve">the spring. Hooke's law states that the extension of a spring is proportional</w:t>
      </w:r>
      <w:r>
        <w:t xml:space="preserve"> </w:t>
      </w:r>
      <w:r>
        <w:t xml:space="preserve">to force, or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d</m:t>
              </m:r>
              <m:r>
                <m:t>g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d</m:t>
              </m:r>
              <m:r>
                <m:t>s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the "elastic spring constant,"</w:t>
      </w:r>
      <w:r>
        <w:t xml:space="preserve"> </w:t>
      </w:r>
      <m:oMath>
        <m:r>
          <m:t>d</m:t>
        </m:r>
        <m:r>
          <m:t>g</m:t>
        </m:r>
      </m:oMath>
      <w:r>
        <w:t xml:space="preserve"> </w:t>
      </w:r>
      <w:r>
        <w:t xml:space="preserve">:math:`` a small</w:t>
      </w:r>
      <w:r>
        <w:t xml:space="preserve"> </w:t>
      </w:r>
      <w:r>
        <w:t xml:space="preserve">change in gravitational acceleration, and</w:t>
      </w:r>
      <w:r>
        <w:t xml:space="preserve"> </w:t>
      </w:r>
      <m:oMath>
        <m:r>
          <m:t>d</m:t>
        </m:r>
        <m:r>
          <m:t>s</m:t>
        </m:r>
      </m:oMath>
      <w:r>
        <w:t xml:space="preserve"> </w:t>
      </w:r>
      <w:r>
        <w:t xml:space="preserve">is a small change in spring</w:t>
      </w:r>
      <w:r>
        <w:t xml:space="preserve"> </w:t>
      </w:r>
      <w:r>
        <w:t xml:space="preserve">length. So, if we measure</w:t>
      </w:r>
      <w:r>
        <w:t xml:space="preserve"> </w:t>
      </w:r>
      <m:oMath>
        <m:r>
          <m:t>d</m:t>
        </m:r>
        <m:r>
          <m:t>s</m:t>
        </m:r>
      </m:oMath>
      <w:r>
        <w:t xml:space="preserve">, we can get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g</m:t>
          </m:r>
          <m:r>
            <m:rPr>
              <m:sty m:val="p"/>
            </m:rPr>
            <m:t>=</m:t>
          </m:r>
          <m:r>
            <m:t>d</m:t>
          </m:r>
          <m:r>
            <m:t>s</m:t>
          </m:r>
          <m:f>
            <m:fPr>
              <m:type m:val="bar"/>
            </m:fPr>
            <m:num>
              <m:r>
                <m:t>k</m:t>
              </m:r>
            </m:num>
            <m:den>
              <m:r>
                <m:t>m</m:t>
              </m:r>
            </m:den>
          </m:f>
        </m:oMath>
      </m:oMathPara>
    </w:p>
    <w:p>
      <w:pPr>
        <w:pStyle w:val="FirstParagraph"/>
      </w:pPr>
      <w:r>
        <w:t xml:space="preserve">To summarize:</w:t>
      </w:r>
    </w:p>
    <w:p>
      <w:pPr>
        <w:pStyle w:val="Compact"/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i/>
          <w:iCs/>
        </w:rPr>
        <w:t xml:space="preserve">measured</w:t>
      </w:r>
      <w:r>
        <w:t xml:space="preserve"> </w:t>
      </w:r>
      <w:r>
        <w:t xml:space="preserve">parameter is the force on a mass,</w:t>
      </w:r>
      <w:r>
        <w:t xml:space="preserve"> </w:t>
      </w:r>
      <m:oMath>
        <m:r>
          <m:t>m</m:t>
        </m:r>
      </m:oMath>
      <w:r>
        <w:t xml:space="preserve">, due to the presence of another mass,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i/>
          <w:iCs/>
        </w:rPr>
        <w:t xml:space="preserve">recorded</w:t>
      </w:r>
      <w:r>
        <w:t xml:space="preserve"> </w:t>
      </w:r>
      <w:r>
        <w:t xml:space="preserve">parameter is acceleration, with units of milliGals (compared to m/s</w:t>
      </w:r>
      <w:r>
        <w:rPr>
          <w:vertAlign w:val="superscript"/>
        </w:rPr>
        <w:t xml:space="preserve">2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i/>
          <w:iCs/>
        </w:rPr>
        <w:t xml:space="preserve">interpreted</w:t>
      </w:r>
      <w:r>
        <w:t xml:space="preserve"> </w:t>
      </w:r>
      <w:r>
        <w:t xml:space="preserve">parameter is usually density of causative buried materials and structures.</w:t>
      </w:r>
    </w:p>
    <w:p>
      <w:pPr>
        <w:pStyle w:val="FirstParagraph"/>
      </w:pPr>
      <w:r>
        <w:t xml:space="preserve">To carry out a gravity survey, you must measure this change in spring length</w:t>
      </w:r>
      <w:r>
        <w:t xml:space="preserve"> </w:t>
      </w:r>
      <w:r>
        <w:t xml:space="preserve">all over the field site (or along a line). Then you can produce a map (or</w:t>
      </w:r>
      <w:r>
        <w:t xml:space="preserve"> </w:t>
      </w:r>
      <w:r>
        <w:t xml:space="preserve">profile) of relative differences in gravitational acceleration,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Finally, this result must be interpreted in terms of variations in buried mass</w:t>
      </w:r>
      <w:r>
        <w:t xml:space="preserve"> </w:t>
      </w:r>
      <w:r>
        <w:t xml:space="preserve">(integrated all over the volume), and/or in terms of the distance,</w:t>
      </w:r>
      <w:r>
        <w:t xml:space="preserve"> </w:t>
      </w:r>
      <m:oMath>
        <m:r>
          <m:t>r</m:t>
        </m:r>
      </m:oMath>
      <w:r>
        <w:t xml:space="preserve">, to</w:t>
      </w:r>
      <w:r>
        <w:t xml:space="preserve"> </w:t>
      </w:r>
      <w:r>
        <w:t xml:space="preserve">the buried mass.</w:t>
      </w:r>
    </w:p>
    <w:p>
      <w:pPr>
        <w:pStyle w:val="BodyText"/>
      </w:pPr>
      <w:r>
        <w:t xml:space="preserve">There are other fundamental measurements that do not involve springs. There</w:t>
      </w:r>
      <w:r>
        <w:t xml:space="preserve"> </w:t>
      </w:r>
      <w:r>
        <w:t xml:space="preserve">are instruments that measure the time it takes for a mass to fall through a</w:t>
      </w:r>
      <w:r>
        <w:t xml:space="preserve"> </w:t>
      </w:r>
      <w:r>
        <w:t xml:space="preserve">vacuum, and the period of a pendulum can be observed carefully. There are more</w:t>
      </w:r>
      <w:r>
        <w:t xml:space="preserve"> </w:t>
      </w:r>
      <w:r>
        <w:t xml:space="preserve">details about these less common methods of measuring gravity in most text</w:t>
      </w:r>
      <w:r>
        <w:t xml:space="preserve"> </w:t>
      </w:r>
      <w:r>
        <w:t xml:space="preserve">books about applied geophysics.</w:t>
      </w:r>
    </w:p>
    <w:bookmarkEnd w:id="23"/>
    <w:bookmarkStart w:id="24" w:name="what-is-actually-measured"/>
    <w:p>
      <w:pPr>
        <w:pStyle w:val="Heading1"/>
      </w:pPr>
      <w:r>
        <w:t xml:space="preserve">What is actually measured?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./images/grav_diag.gif</w:t>
            </w:r>
          </w:p>
        </w:tc>
      </w:tr>
    </w:tbl>
    <w:p>
      <w:pPr>
        <w:pStyle w:val="BodyText"/>
      </w:pPr>
      <w:r>
        <w:t xml:space="preserve">Instruments actually measure the vertical component of the gravitational</w:t>
      </w:r>
      <w:r>
        <w:t xml:space="preserve"> </w:t>
      </w:r>
      <w:r>
        <w:t xml:space="preserve">effect of the target,</w:t>
      </w:r>
      <w:r>
        <w:t xml:space="preserve"> </w:t>
      </w:r>
      <m:oMath>
        <m:r>
          <m:t>Δ</m:t>
        </m:r>
        <m:sSub>
          <m:e>
            <m:r>
              <m:t>g</m:t>
            </m:r>
          </m:e>
          <m:sub>
            <m:r>
              <m:t>z</m:t>
            </m:r>
          </m:sub>
        </m:sSub>
      </m:oMath>
      <w:r>
        <w:t xml:space="preserve">. However, the formula</w:t>
      </w:r>
      <w:r>
        <w:t xml:space="preserve"> </w:t>
      </w:r>
      <m:oMath>
        <m:r>
          <m:t>G</m:t>
        </m:r>
        <m:r>
          <m:t>m</m:t>
        </m:r>
        <m:r>
          <m:rPr>
            <m:sty m:val="p"/>
          </m:rPr>
          <m:t>/</m:t>
        </m:r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gives acceleration experienced in line with two masses, where r is the</w:t>
      </w:r>
      <w:r>
        <w:t xml:space="preserve"> </w:t>
      </w:r>
      <w:r>
        <w:t xml:space="preserve">distance between center of masses (sensor and target mass). Since we measure</w:t>
      </w:r>
      <w:r>
        <w:t xml:space="preserve"> </w:t>
      </w:r>
      <m:oMath>
        <m:r>
          <m:t>Δ</m:t>
        </m:r>
        <m:sSub>
          <m:e>
            <m:r>
              <m:t>g</m:t>
            </m:r>
          </m:e>
          <m:sub>
            <m:r>
              <m:t>z</m:t>
            </m:r>
          </m:sub>
        </m:sSub>
      </m:oMath>
      <w:r>
        <w:t xml:space="preserve"> </w:t>
      </w:r>
      <w:r>
        <w:t xml:space="preserve">along the surface over the target, we must resolve this</w:t>
      </w:r>
      <w:r>
        <w:t xml:space="preserve"> </w:t>
      </w:r>
      <w:r>
        <w:t xml:space="preserve">geometry. Using the figure to the right,</w:t>
      </w:r>
      <w:r>
        <w:t xml:space="preserve"> </w:t>
      </w:r>
      <m:oMath>
        <m:r>
          <m:t>Δ</m:t>
        </m:r>
        <m:sSub>
          <m:e>
            <m:r>
              <m:t>g</m:t>
            </m:r>
          </m:e>
          <m:sub>
            <m:r>
              <m:t>z</m:t>
            </m:r>
          </m:sub>
        </m:sSub>
      </m:oMath>
      <w:r>
        <w:t xml:space="preserve"> </w:t>
      </w:r>
      <w:r>
        <w:t xml:space="preserve">at location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0</m:t>
            </m:r>
            <m:r>
              <m:rPr>
                <m:sty m:val="p"/>
              </m:rPr>
              <m:t>,</m:t>
            </m:r>
            <m:r>
              <m:t>0</m:t>
            </m:r>
          </m:e>
        </m:d>
      </m:oMath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sSub>
            <m:e>
              <m:r>
                <m:t>g</m:t>
              </m:r>
            </m:e>
            <m:sub>
              <m:r>
                <m:t>z</m:t>
              </m:r>
            </m:sub>
          </m:sSub>
          <m:r>
            <m:rPr>
              <m:sty m:val="p"/>
            </m:rPr>
            <m:t>=</m:t>
          </m:r>
          <m:r>
            <m:t>Δ</m:t>
          </m:r>
          <m:sSub>
            <m:e>
              <m:r>
                <m:t>g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cos</m:t>
          </m:r>
          <m:d>
            <m:dPr>
              <m:begChr m:val="("/>
              <m:sepChr m:val=""/>
              <m:endChr m:val=")"/>
              <m:grow/>
            </m:dPr>
            <m:e>
              <m:r>
                <m:t>θ</m:t>
              </m:r>
            </m:e>
          </m:d>
          <m:r>
            <m:rPr>
              <m:sty m:val="p"/>
            </m:rPr>
            <m:t>=</m:t>
          </m:r>
          <m:r>
            <m:t>Δ</m:t>
          </m:r>
          <m:sSub>
            <m:e>
              <m:r>
                <m:t>g</m:t>
              </m:r>
            </m:e>
            <m:sub>
              <m:r>
                <m:t>r</m:t>
              </m:r>
            </m:sub>
          </m:sSub>
          <m:f>
            <m:fPr>
              <m:type m:val="bar"/>
            </m:fPr>
            <m:num>
              <m:r>
                <m:t>z</m:t>
              </m:r>
            </m:num>
            <m:den>
              <m:r>
                <m:t>r</m:t>
              </m:r>
            </m:den>
          </m:f>
        </m:oMath>
      </m:oMathPara>
    </w:p>
    <w:p>
      <w:pPr>
        <w:pStyle w:val="FirstParagraph"/>
      </w:pPr>
      <w:r>
        <w:t xml:space="preserve">and since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sSub>
            <m:e>
              <m:r>
                <m:t>g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r>
            <m:t>G</m:t>
          </m:r>
          <m:f>
            <m:fPr>
              <m:type m:val="bar"/>
            </m:fPr>
            <m:num>
              <m:r>
                <m:t>M</m:t>
              </m:r>
            </m:num>
            <m:den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sSub>
            <m:e>
              <m:r>
                <m:t>g</m:t>
              </m:r>
            </m:e>
            <m:sub>
              <m:r>
                <m:t>z</m:t>
              </m:r>
            </m:sub>
          </m:sSub>
          <m:r>
            <m:rPr>
              <m:sty m:val="p"/>
            </m:rPr>
            <m:t>=</m:t>
          </m:r>
          <m:r>
            <m:t>G</m:t>
          </m:r>
          <m:f>
            <m:fPr>
              <m:type m:val="bar"/>
            </m:fPr>
            <m:num>
              <m:r>
                <m:t>M</m:t>
              </m:r>
            </m:num>
            <m:den>
              <m:sSup>
                <m:e>
                  <m:r>
                    <m:t>r</m:t>
                  </m:r>
                </m:e>
                <m:sup>
                  <m:r>
                    <m:t>3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G</m:t>
          </m:r>
          <m:f>
            <m:fPr>
              <m:type m:val="bar"/>
            </m:fPr>
            <m:num>
              <m:r>
                <m:t>M</m:t>
              </m:r>
              <m:r>
                <m:t>z</m:t>
              </m:r>
            </m:num>
            <m:den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z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</m:den>
          </m:f>
        </m:oMath>
      </m:oMathPara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./images/response_cylinder.gif</w:t>
            </w:r>
          </w:p>
        </w:tc>
      </w:tr>
    </w:tbl>
    <w:p>
      <w:pPr>
        <w:pStyle w:val="BodyText"/>
      </w:pPr>
      <w:r>
        <w:t xml:space="preserve">If the mass,</w:t>
      </w:r>
      <w:r>
        <w:t xml:space="preserve"> </w:t>
      </w:r>
      <m:oMath>
        <m:r>
          <m:t>M</m:t>
        </m:r>
      </m:oMath>
      <w:r>
        <w:t xml:space="preserve">, is a sphere centered at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0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  <w:r>
        <w:t xml:space="preserve">, then this</w:t>
      </w:r>
      <w:r>
        <w:t xml:space="preserve"> </w:t>
      </w:r>
      <w:r>
        <w:t xml:space="preserve">equation describes the pattern of gravitational acceleration that would be</w:t>
      </w:r>
      <w:r>
        <w:t xml:space="preserve"> </w:t>
      </w:r>
      <w:r>
        <w:t xml:space="preserve">measured along a traverse that crosses over the sphere. For a sphere with</w:t>
      </w:r>
      <w:r>
        <w:t xml:space="preserve"> </w:t>
      </w:r>
      <w:r>
        <w:t xml:space="preserve">radius,</w:t>
      </w:r>
      <w:r>
        <w:t xml:space="preserve"> </w:t>
      </w:r>
      <m:oMath>
        <m:r>
          <m:t>R</m:t>
        </m:r>
      </m:oMath>
      <w:r>
        <w:t xml:space="preserve">, the mass and its density are related according to</w:t>
      </w:r>
      <w:r>
        <w:t xml:space="preserve"> </w:t>
      </w:r>
      <m:oMath>
        <m:r>
          <m:t>4</m:t>
        </m:r>
        <m:r>
          <m:rPr>
            <m:sty m:val="p"/>
          </m:rPr>
          <m:t>/</m:t>
        </m:r>
        <m:r>
          <m:t>3</m:t>
        </m:r>
        <m:d>
          <m:dPr>
            <m:begChr m:val="("/>
            <m:sepChr m:val=""/>
            <m:endChr m:val=")"/>
            <m:grow/>
          </m:dPr>
          <m:e>
            <m:r>
              <m:t>π</m:t>
            </m:r>
            <m:sSup>
              <m:e>
                <m:r>
                  <m:t>R</m:t>
                </m:r>
              </m:e>
              <m:sup>
                <m:r>
                  <m:t>3</m:t>
                </m:r>
              </m:sup>
            </m:sSup>
          </m:e>
        </m:d>
        <m:r>
          <m:t>d</m:t>
        </m:r>
        <m:r>
          <m:t>ρ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d</m:t>
        </m:r>
        <m:r>
          <m:t>ρ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density contrast</w:t>
      </w:r>
      <w:r>
        <w:t xml:space="preserve">; that is, density of host</w:t>
      </w:r>
      <w:r>
        <w:t xml:space="preserve"> </w:t>
      </w:r>
      <w:r>
        <w:t xml:space="preserve">rocks minus the density of anomalous mass.</w:t>
      </w:r>
    </w:p>
    <w:p>
      <w:pPr>
        <w:pStyle w:val="BodyText"/>
      </w:pPr>
      <w:r>
        <w:t xml:space="preserve">This relation (profile) is plotted (figure to the right)</w:t>
      </w:r>
      <w:r>
        <w:t xml:space="preserve"> </w:t>
      </w:r>
      <w:r>
        <w:t xml:space="preserve">assuming the survey crosses over a 2D “point” mass - i.e.</w:t>
      </w:r>
      <w:r>
        <w:t xml:space="preserve"> </w:t>
      </w:r>
      <w:r>
        <w:t xml:space="preserve">a “line mass," or horizontal cylinder. The pattern would be similar</w:t>
      </w:r>
      <w:r>
        <w:t xml:space="preserve"> </w:t>
      </w:r>
      <w:r>
        <w:t xml:space="preserve">but slightly narrower if the buried feature was a point mass or sphere.</w:t>
      </w:r>
    </w:p>
    <w:p>
      <w:pPr>
        <w:pStyle w:val="Compact"/>
        <w:numPr>
          <w:ilvl w:val="0"/>
          <w:numId w:val="1002"/>
        </w:numPr>
      </w:pPr>
      <w:r>
        <w:t xml:space="preserve">Note that the “mass” must involve the density</w:t>
      </w:r>
      <w:r>
        <w:t xml:space="preserve"> </w:t>
      </w:r>
      <w:r>
        <w:rPr>
          <w:i/>
          <w:iCs/>
        </w:rPr>
        <w:t xml:space="preserve">contrast</w:t>
      </w:r>
      <w:r>
        <w:t xml:space="preserve">. In other words, the difference between host and target densities.</w:t>
      </w:r>
    </w:p>
    <w:p>
      <w:pPr>
        <w:pStyle w:val="Compact"/>
        <w:numPr>
          <w:ilvl w:val="0"/>
          <w:numId w:val="1002"/>
        </w:numPr>
      </w:pPr>
      <w:r>
        <w:t xml:space="preserve">An estimate of vertical depth to the center of mass can be obtained by equating amplitude 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to twice the amplitude at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result is a half-width rule giving depth to center of a sphere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1.3</m:t>
        </m:r>
        <m:sSub>
          <m:e>
            <m:r>
              <m:t>x</m:t>
            </m:r>
          </m:e>
          <m:sub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b>
        </m:sSub>
      </m:oMath>
      <w:r>
        <w:t xml:space="preserve">, where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b>
        </m:sSub>
      </m:oMath>
      <w:r>
        <w:t xml:space="preserve"> </w:t>
      </w:r>
      <w:r>
        <w:t xml:space="preserve">is half the width of the measured gravity anomaly at half of its maximum amplitude. You can prove this by recognizing that at the maximum amplitude (directly over the sphere),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so</w:t>
      </w:r>
      <w:r>
        <w:t xml:space="preserve"> </w:t>
      </w:r>
      <m:oMath>
        <m:sSub>
          <m:e>
            <m:r>
              <m:t>g</m:t>
            </m:r>
          </m:e>
          <m:sub>
            <m:r>
              <m:t>Z</m:t>
            </m:r>
          </m:sub>
        </m:sSub>
        <m:r>
          <m:rPr>
            <m:sty m:val="p"/>
          </m:rPr>
          <m:t>=</m:t>
        </m:r>
        <m:r>
          <m:t>G</m:t>
        </m:r>
        <m:r>
          <m:t>M</m:t>
        </m:r>
        <m:r>
          <m:rPr>
            <m:sty m:val="p"/>
          </m:rPr>
          <m:t>/</m:t>
        </m:r>
        <m:sSup>
          <m:e>
            <m:r>
              <m:t>z</m:t>
            </m:r>
          </m:e>
          <m:sup>
            <m:r>
              <m:t>2</m:t>
            </m:r>
          </m:sup>
        </m:sSup>
      </m:oMath>
      <w:r>
        <w:t xml:space="preserve">.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at the location where</w:t>
      </w:r>
      <w:r>
        <w:t xml:space="preserve"> </w:t>
      </w:r>
      <m:oMath>
        <m:sSub>
          <m:e>
            <m:r>
              <m:t>g</m:t>
            </m:r>
          </m:e>
          <m:sub>
            <m:r>
              <m:t>Z</m:t>
            </m:r>
          </m:sub>
        </m:sSub>
      </m:oMath>
      <w:r>
        <w:t xml:space="preserve"> </w:t>
      </w:r>
      <w:r>
        <w:t xml:space="preserve">is half of its maximum amplitude, or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G</m:t>
              </m:r>
              <m:r>
                <m:t>M</m:t>
              </m:r>
            </m:num>
            <m:den>
              <m:r>
                <m:t>2</m:t>
              </m:r>
              <m:sSup>
                <m:e>
                  <m:r>
                    <m:t>z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G</m:t>
              </m:r>
              <m:r>
                <m:t>M</m:t>
              </m:r>
              <m:r>
                <m:t>z</m:t>
              </m:r>
            </m:num>
            <m:den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z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</m:den>
          </m:f>
        </m:oMath>
      </m:oMathPara>
    </w:p>
    <w:p>
      <w:pPr>
        <w:pStyle w:val="Compact"/>
        <w:numPr>
          <w:ilvl w:val="0"/>
          <w:numId w:val="1003"/>
        </w:numPr>
      </w:pPr>
      <w:r>
        <w:t xml:space="preserve">For the infinite horizontal cylinder, the half-width rule is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1.0</m:t>
        </m:r>
        <m:sSub>
          <m:e>
            <m:r>
              <m:t>x</m:t>
            </m:r>
          </m:e>
          <m:sub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b>
        </m:sSub>
      </m:oMath>
      <w:r>
        <w:t xml:space="preserve">, giving depth to the center of the cylinder.</w:t>
      </w:r>
    </w:p>
    <w:bookmarkEnd w:id="24"/>
    <w:bookmarkStart w:id="25" w:name="factors-affecting-gravity"/>
    <w:p>
      <w:pPr>
        <w:pStyle w:val="Heading1"/>
      </w:pPr>
      <w:r>
        <w:t xml:space="preserve">Factors affecting gravity</w:t>
      </w:r>
    </w:p>
    <w:p>
      <w:pPr>
        <w:pStyle w:val="FirstParagraph"/>
      </w:pPr>
      <w:r>
        <w:t xml:space="preserve">Gravitational acceleration measured at any point depends on five factors, all</w:t>
      </w:r>
      <w:r>
        <w:t xml:space="preserve"> </w:t>
      </w:r>
      <w:r>
        <w:t xml:space="preserve">related to either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or both (in Eq2 above). The effects are</w:t>
      </w:r>
      <w:r>
        <w:t xml:space="preserve"> </w:t>
      </w:r>
      <w:r>
        <w:t xml:space="preserve">as follows, and corrections for these effects must be applied to data sets.</w:t>
      </w:r>
      <w:r>
        <w:t xml:space="preserve"> </w:t>
      </w:r>
      <w:r>
        <w:t xml:space="preserve">The section on data reduction explains further.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Latitude</w:t>
      </w:r>
      <w:r>
        <w:t xml:space="preserve">: From equator to pole, gravity varies by roughly 5000 mGal</w:t>
      </w:r>
      <w:r>
        <w:t xml:space="preserve"> </w:t>
      </w:r>
      <w:r>
        <w:t xml:space="preserve">(greater at poles). The gradient (i.e. rate of change with respect to</w:t>
      </w:r>
      <w:r>
        <w:t xml:space="preserve"> </w:t>
      </w:r>
      <w:r>
        <w:t xml:space="preserve">latitude) is maximum at 45° latitude, where it is about 0.8 mGal/km.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Elevation</w:t>
      </w:r>
      <w:r>
        <w:t xml:space="preserve">: The effect of changing the elevation (changing the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of Eq2) of a measurement is quite significant. For modern instruments, a</w:t>
      </w:r>
      <w:r>
        <w:t xml:space="preserve"> </w:t>
      </w:r>
      <w:r>
        <w:t xml:space="preserve">change of only a few centimeters can be detected, and between sea level</w:t>
      </w:r>
      <w:r>
        <w:t xml:space="preserve"> </w:t>
      </w:r>
      <w:r>
        <w:t xml:space="preserve">and the top of Mt. Everest, the difference is roughly 2000 mGal.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Slab effect</w:t>
      </w:r>
      <w:r>
        <w:t xml:space="preserve">: Going up in elevation rarely means up into air (except for</w:t>
      </w:r>
      <w:r>
        <w:t xml:space="preserve"> </w:t>
      </w:r>
      <w:r>
        <w:t xml:space="preserve">airborne surveys). If we are "up," there are rocks and soils between us</w:t>
      </w:r>
      <w:r>
        <w:t xml:space="preserve"> </w:t>
      </w:r>
      <w:r>
        <w:t xml:space="preserve">and where we were. The attraction of these materials counteracts the</w:t>
      </w:r>
      <w:r>
        <w:t xml:space="preserve"> </w:t>
      </w:r>
      <w:r>
        <w:t xml:space="preserve">effect of going up in elevation. Therefore, the elevation correction is</w:t>
      </w:r>
      <w:r>
        <w:t xml:space="preserve"> </w:t>
      </w:r>
      <w:r>
        <w:t xml:space="preserve">counteracted by subtracting a factor of</w:t>
      </w:r>
      <w:r>
        <w:t xml:space="preserve"> </w:t>
      </w:r>
      <m:oMath>
        <m:r>
          <m:t>0.0419</m:t>
        </m:r>
        <m:r>
          <m:rPr>
            <m:sty m:val="p"/>
          </m:rPr>
          <m:t>×</m:t>
        </m:r>
        <m:r>
          <m:t>h</m:t>
        </m:r>
        <m:r>
          <m:rPr>
            <m:sty m:val="p"/>
          </m:rPr>
          <m:t>×</m:t>
        </m:r>
        <m:r>
          <m:t>d</m:t>
        </m:r>
      </m:oMath>
      <w:r>
        <w:t xml:space="preserve"> </w:t>
      </w:r>
      <w:r>
        <w:t xml:space="preserve">mGal, where h is elevation in metres,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density of intervening</w:t>
      </w:r>
      <w:r>
        <w:t xml:space="preserve"> </w:t>
      </w:r>
      <w:r>
        <w:t xml:space="preserve">materials in g/cc. This is called the</w:t>
      </w:r>
      <w:r>
        <w:t xml:space="preserve"> </w:t>
      </w:r>
      <w:r>
        <w:rPr>
          <w:i/>
          <w:iCs/>
        </w:rPr>
        <w:t xml:space="preserve">Bouguer correction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Topography</w:t>
      </w:r>
      <w:r>
        <w:t xml:space="preserve">: Effects due to nearby topographic relief (hills or valleys)</w:t>
      </w:r>
      <w:r>
        <w:t xml:space="preserve"> </w:t>
      </w:r>
      <w:r>
        <w:t xml:space="preserve">may be significant, but are rarely more than 1.0 mGal. These effects are</w:t>
      </w:r>
      <w:r>
        <w:t xml:space="preserve"> </w:t>
      </w:r>
      <w:r>
        <w:t xml:space="preserve">rather tedious to apply, but are important when there is steep topography</w:t>
      </w:r>
      <w:r>
        <w:t xml:space="preserve"> </w:t>
      </w:r>
      <w:r>
        <w:t xml:space="preserve">near the measurement locations.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Earth tides</w:t>
      </w:r>
      <w:r>
        <w:t xml:space="preserve">: Tidal effects are as much as 0.3 mGal, and these are</w:t>
      </w:r>
      <w:r>
        <w:t xml:space="preserve"> </w:t>
      </w:r>
      <w:r>
        <w:t xml:space="preserve">usually accounted for by recording several measurements at a single</w:t>
      </w:r>
      <w:r>
        <w:t xml:space="preserve"> </w:t>
      </w:r>
      <w:r>
        <w:t xml:space="preserve">station (a base station) throughout the course of a survey.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Lateral density variations</w:t>
      </w:r>
      <w:r>
        <w:t xml:space="preserve">: Large scale structural anomalies (basin and</w:t>
      </w:r>
      <w:r>
        <w:t xml:space="preserve"> </w:t>
      </w:r>
      <w:r>
        <w:t xml:space="preserve">range geology) may be 100 - 500 mGal. Good targets for oil exploration (a</w:t>
      </w:r>
      <w:r>
        <w:t xml:space="preserve"> </w:t>
      </w:r>
      <w:r>
        <w:t xml:space="preserve">salt dome) may be ~ 10 mGal. In mineral exploration, ore bodies may cause</w:t>
      </w:r>
      <w:r>
        <w:t xml:space="preserve"> </w:t>
      </w:r>
      <w:r>
        <w:t xml:space="preserve">anomalies of around 1 mGal. A geotechnical application may involve</w:t>
      </w:r>
      <w:r>
        <w:t xml:space="preserve"> </w:t>
      </w:r>
      <w:r>
        <w:t xml:space="preserve">anomalies of 20 microGal.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Effects of a moving platform</w:t>
      </w:r>
      <w:r>
        <w:t xml:space="preserve">: If the instrument is in motion while a</w:t>
      </w:r>
      <w:r>
        <w:t xml:space="preserve"> </w:t>
      </w:r>
      <w:r>
        <w:t xml:space="preserve">measurement is made, the acceleration caused by motion on a rotating</w:t>
      </w:r>
      <w:r>
        <w:t xml:space="preserve"> </w:t>
      </w:r>
      <w:r>
        <w:t xml:space="preserve">sphere must be accounted for. These contributions to measured</w:t>
      </w:r>
      <w:r>
        <w:t xml:space="preserve"> </w:t>
      </w:r>
      <w:r>
        <w:t xml:space="preserve">acceleration can be very large, especially in aircraft. Even the slight</w:t>
      </w:r>
      <w:r>
        <w:t xml:space="preserve"> </w:t>
      </w:r>
      <w:r>
        <w:t xml:space="preserve">rotational motion of a ship resting on a sea with mild swells will have</w:t>
      </w:r>
      <w:r>
        <w:t xml:space="preserve"> </w:t>
      </w:r>
      <w:r>
        <w:t xml:space="preserve">significant effects on measurements.</w:t>
      </w:r>
    </w:p>
    <w:p>
      <w:pPr>
        <w:pStyle w:val="FirstParagraph"/>
      </w:pPr>
      <w:r>
        <w:t xml:space="preserve">As noted above, all data sets must be corrected for these effects, and this is</w:t>
      </w:r>
      <w:r>
        <w:t xml:space="preserve"> </w:t>
      </w:r>
      <w:r>
        <w:t xml:space="preserve">discussed in a later section.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Gravity measurements</dc:title>
  <dc:creator/>
  <cp:keywords/>
  <dcterms:created xsi:type="dcterms:W3CDTF">2025-01-16T09:29:01Z</dcterms:created>
  <dcterms:modified xsi:type="dcterms:W3CDTF">2025-01-16T09:29:01Z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