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Gravity gradients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page is an overview of this rapidly growing aspect of gravity surveying.</w:t>
      </w:r>
      <w:r>
        <w:t xml:space="preserve"> </w:t>
      </w:r>
      <w:r>
        <w:t xml:space="preserve">Important goals are to recognize what spatial derivatives are and what the</w:t>
      </w:r>
      <w:r>
        <w:t xml:space="preserve"> </w:t>
      </w:r>
      <w:r>
        <w:t xml:space="preserve">total horizontal derivative is good for, understand the idea behind "second</w:t>
      </w:r>
      <w:r>
        <w:t xml:space="preserve"> </w:t>
      </w:r>
      <w:r>
        <w:t xml:space="preserve">spatial derivatives," and recognize that direct measurement of all vectoral</w:t>
      </w:r>
      <w:r>
        <w:t xml:space="preserve"> </w:t>
      </w:r>
      <w:r>
        <w:t xml:space="preserve">components of the spatial gradients of both gravity and magnetics is the</w:t>
      </w:r>
      <w:r>
        <w:t xml:space="preserve"> </w:t>
      </w:r>
      <w:r>
        <w:t xml:space="preserve">latest really new capability in the geophysics industry. Is it useful? Much</w:t>
      </w:r>
      <w:r>
        <w:t xml:space="preserve"> </w:t>
      </w:r>
      <w:r>
        <w:t xml:space="preserve">money has been spent on inventing this capability and yes, it is useful for</w:t>
      </w:r>
      <w:r>
        <w:t xml:space="preserve"> </w:t>
      </w:r>
      <w:r>
        <w:t xml:space="preserve">larger scale problems associated with oil and gas and to some extent minerals</w:t>
      </w:r>
      <w:r>
        <w:t xml:space="preserve"> </w:t>
      </w:r>
      <w:r>
        <w:t xml:space="preserve">exploration.</w:t>
      </w:r>
    </w:p>
    <w:bookmarkEnd w:id="20"/>
    <w:bookmarkStart w:id="21" w:name="measured-gravity-is-g_z"/>
    <w:p>
      <w:pPr>
        <w:pStyle w:val="Heading1"/>
      </w:pPr>
      <w:r>
        <w:t xml:space="preserve">Measured gravity is</w:t>
      </w:r>
      <w:r>
        <w:t xml:space="preserve"> </w:t>
      </w:r>
      <m:oMath>
        <m:sSub>
          <m:e>
            <m:r>
              <m:t>g</m:t>
            </m:r>
          </m:e>
          <m:sub>
            <m:r>
              <m:t>z</m:t>
            </m:r>
          </m:sub>
        </m:sSub>
      </m:oMath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./images/grav_diag.gif</w:t>
            </w:r>
          </w:p>
        </w:tc>
      </w:tr>
    </w:tbl>
    <w:p>
      <w:pPr>
        <w:pStyle w:val="BodyText"/>
      </w:pPr>
      <w:r>
        <w:t xml:space="preserve">Normally the vertical component of gravity</w:t>
      </w:r>
      <w:r>
        <w:t xml:space="preserve"> </w:t>
      </w:r>
      <m:oMath>
        <m:sSub>
          <m:e>
            <m:r>
              <m:t>g</m:t>
            </m:r>
          </m:e>
          <m:sub>
            <m:r>
              <m:t>z</m:t>
            </m:r>
          </m:sub>
        </m:sSub>
      </m:oMath>
      <w:r>
        <w:t xml:space="preserve"> </w:t>
      </w:r>
      <w:r>
        <w:t xml:space="preserve">is measured. This was</w:t>
      </w:r>
      <w:r>
        <w:t xml:space="preserve"> </w:t>
      </w:r>
      <w:r>
        <w:t xml:space="preserve">illustrated using the profile over a sphere or cylinder (right) in the section</w:t>
      </w:r>
      <w:r>
        <w:t xml:space="preserve"> </w:t>
      </w:r>
      <w:r>
        <w:rPr>
          <w:rStyle w:val="VerbatimChar"/>
        </w:rPr>
        <w:t xml:space="preserve">gravity_basics</w:t>
      </w:r>
      <w:r>
        <w:t xml:space="preserve">. The horizontal components of gravity,</w:t>
      </w:r>
      <w:r>
        <w:t xml:space="preserve"> </w:t>
      </w:r>
      <m:oMath>
        <m:sSub>
          <m:e>
            <m:r>
              <m:t>g</m:t>
            </m:r>
          </m:e>
          <m:sub>
            <m:r>
              <m:t>x</m:t>
            </m:r>
          </m:sub>
        </m:sSub>
      </m:oMath>
      <w:r>
        <w:t xml:space="preserve">, and</w:t>
      </w:r>
      <w:r>
        <w:t xml:space="preserve"> </w:t>
      </w:r>
      <m:oMath>
        <m:sSub>
          <m:e>
            <m:r>
              <m:t>g</m:t>
            </m:r>
          </m:e>
          <m:sub>
            <m:r>
              <m:t>y</m:t>
            </m:r>
          </m:sub>
        </m:sSub>
      </m:oMath>
      <w:r>
        <w:t xml:space="preserve">, are small and not measured.</w:t>
      </w:r>
    </w:p>
    <w:bookmarkEnd w:id="21"/>
    <w:bookmarkStart w:id="22" w:name="Xaf49787ed978ae0ae28f00ba4eef4c31d641e2e"/>
    <w:p>
      <w:pPr>
        <w:pStyle w:val="Heading1"/>
      </w:pPr>
      <w:r>
        <w:t xml:space="preserve">The spatial derivative (rate of change) of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t xml:space="preserve">The spatial rate of change of gravity (in the x-direction) is written</w:t>
      </w:r>
      <w:r>
        <w:t xml:space="preserve"> </w:t>
      </w:r>
      <w:r>
        <w:t xml:space="preserve">mathematically as</w:t>
      </w:r>
      <w:r>
        <w:t xml:space="preserve"> </w:t>
      </w:r>
      <m:oMath>
        <m:r>
          <m:rPr>
            <m:sty m:val="p"/>
          </m:rPr>
          <m:t>∂</m:t>
        </m:r>
        <m:r>
          <m:t>g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x</m:t>
        </m:r>
      </m:oMath>
      <w:r>
        <w:t xml:space="preserve">. This horizontal derivative</w:t>
      </w:r>
      <w:r>
        <w:t xml:space="preserve"> </w:t>
      </w:r>
      <w:r>
        <w:t xml:space="preserve">can help map edges of buried changes in density. However, when data were</w:t>
      </w:r>
      <w:r>
        <w:t xml:space="preserve"> </w:t>
      </w:r>
      <w:r>
        <w:t xml:space="preserve">gathered over an area, it is more common to employ the so called</w:t>
      </w:r>
      <w:r>
        <w:t xml:space="preserve"> </w:t>
      </w:r>
      <w:r>
        <w:rPr>
          <w:i/>
          <w:iCs/>
        </w:rPr>
        <w:t xml:space="preserve">total</w:t>
      </w:r>
      <w:r>
        <w:rPr>
          <w:i/>
          <w:iCs/>
        </w:rPr>
        <w:t xml:space="preserve"> </w:t>
      </w:r>
      <w:r>
        <w:rPr>
          <w:i/>
          <w:iCs/>
        </w:rPr>
        <w:t xml:space="preserve">horizontal derivative</w:t>
      </w:r>
      <w:r>
        <w:t xml:space="preserve">, which is the square root of the sum of squared x- and</w:t>
      </w:r>
      <w:r>
        <w:t xml:space="preserve"> </w:t>
      </w:r>
      <w:r>
        <w:t xml:space="preserve">y- horizontal derivatives. This is a conceptually simple idea, but challenging</w:t>
      </w:r>
      <w:r>
        <w:t xml:space="preserve"> </w:t>
      </w:r>
      <w:r>
        <w:t xml:space="preserve">to actually calculate if data are not on a survey grid that is uniform. Its</w:t>
      </w:r>
      <w:r>
        <w:t xml:space="preserve"> </w:t>
      </w:r>
      <w:r>
        <w:t xml:space="preserve">result is illustrated in the following figures: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./images/Bouger.jpg</w:t>
            </w:r>
          </w:p>
        </w:tc>
      </w:tr>
    </w:tbl>
    <w:p>
      <w:pPr>
        <w:pStyle w:val="ImageCaption"/>
      </w:pPr>
      <w:r>
        <w:t xml:space="preserve">Bouguer gravity, contour map plotted using "shading."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./images/gravhd.jpg</w:t>
            </w:r>
          </w:p>
        </w:tc>
      </w:tr>
    </w:tbl>
    <w:p>
      <w:pPr>
        <w:pStyle w:val="ImageCaption"/>
      </w:pPr>
      <w:r>
        <w:t xml:space="preserve">Total horizontal derivative of the adjacent gravity</w:t>
      </w:r>
    </w:p>
    <w:p>
      <w:pPr>
        <w:pStyle w:val="BodyText"/>
      </w:pPr>
      <w:r>
        <w:t xml:space="preserve">One way to think of spatial derivatives is to simply look at the change in</w:t>
      </w:r>
      <w:r>
        <w:t xml:space="preserve"> </w:t>
      </w:r>
      <w:r>
        <w:t xml:space="preserve">"value" between adjacent stations. Another better approach for real data is to</w:t>
      </w:r>
      <w:r>
        <w:t xml:space="preserve"> </w:t>
      </w:r>
      <w:r>
        <w:t xml:space="preserve">look at slopes over several stations. A least squares fit to data at several</w:t>
      </w:r>
      <w:r>
        <w:t xml:space="preserve"> </w:t>
      </w:r>
      <w:r>
        <w:t xml:space="preserve">stations will yield a slope. The magnitude of this slope is a horizontal</w:t>
      </w:r>
      <w:r>
        <w:t xml:space="preserve"> </w:t>
      </w:r>
      <w:r>
        <w:t xml:space="preserve">derivative. This can be done along a profile (line survey) or using a matrix</w:t>
      </w:r>
      <w:r>
        <w:t xml:space="preserve"> </w:t>
      </w:r>
      <w:r>
        <w:t xml:space="preserve">of points on a map. For maps, the horizontal derivative at one location is</w:t>
      </w:r>
      <w:r>
        <w:t xml:space="preserve"> </w:t>
      </w:r>
      <w:r>
        <w:t xml:space="preserve">then simply the magnitude of the slope of a plane found by least squares fit</w:t>
      </w:r>
      <w:r>
        <w:t xml:space="preserve"> </w:t>
      </w:r>
      <w:r>
        <w:t xml:space="preserve">to a set of points surrounding that location.</w:t>
      </w:r>
    </w:p>
    <w:bookmarkEnd w:id="22"/>
    <w:bookmarkStart w:id="23" w:name="the-second-spatial-derivative"/>
    <w:p>
      <w:pPr>
        <w:pStyle w:val="Heading1"/>
      </w:pPr>
      <w:r>
        <w:t xml:space="preserve">The second spatial derivative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./images/2ndhorizderiv.gif</w:t>
            </w:r>
          </w:p>
        </w:tc>
      </w:tr>
    </w:tbl>
    <w:p>
      <w:pPr>
        <w:pStyle w:val="BodyText"/>
      </w:pPr>
      <w:r>
        <w:t xml:space="preserve">The rate of change of gradients (written as</w:t>
      </w:r>
      <w:r>
        <w:t xml:space="preserve"> </w:t>
      </w:r>
      <m:oMath>
        <m:sSup>
          <m:e>
            <m:r>
              <m:rPr>
                <m:sty m:val="p"/>
              </m:rPr>
              <m:t>∂</m:t>
            </m:r>
          </m:e>
          <m:sup>
            <m:r>
              <m:t>2</m:t>
            </m:r>
          </m:sup>
        </m:sSup>
        <m:r>
          <m:t>g</m:t>
        </m:r>
        <m:r>
          <m:rPr>
            <m:sty m:val="p"/>
          </m:rPr>
          <m:t>/</m:t>
        </m:r>
        <m:r>
          <m:rPr>
            <m:sty m:val="p"/>
          </m:rPr>
          <m:t>∂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also can be estimated. Inflection points on the graph of</w:t>
      </w:r>
      <w:r>
        <w:t xml:space="preserve"> </w:t>
      </w:r>
      <m:oMath>
        <m:sSup>
          <m:e>
            <m:r>
              <m:rPr>
                <m:sty m:val="p"/>
              </m:rPr>
              <m:t>∂</m:t>
            </m:r>
          </m:e>
          <m:sup>
            <m:r>
              <m:t>2</m:t>
            </m:r>
          </m:sup>
        </m:sSup>
        <m:r>
          <m:t>g</m:t>
        </m:r>
        <m:r>
          <m:rPr>
            <m:sty m:val="p"/>
          </m:rPr>
          <m:t>/</m:t>
        </m:r>
        <m:r>
          <m:rPr>
            <m:sty m:val="p"/>
          </m:rPr>
          <m:t>∂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reveal the location of maximum rate of change of the</w:t>
      </w:r>
      <w:r>
        <w:t xml:space="preserve"> </w:t>
      </w:r>
      <w:r>
        <w:t xml:space="preserve">gradient. The adjacent images show how this can help reveal the difference</w:t>
      </w:r>
      <w:r>
        <w:t xml:space="preserve"> </w:t>
      </w:r>
      <w:r>
        <w:t xml:space="preserve">between a basin and an intrusion. Maps can also be processed to generate</w:t>
      </w:r>
      <w:r>
        <w:t xml:space="preserve"> </w:t>
      </w:r>
      <w:r>
        <w:t xml:space="preserve">images of the second horizontal derivatives.</w:t>
      </w:r>
    </w:p>
    <w:p>
      <w:pPr>
        <w:pStyle w:val="BodyText"/>
      </w:pPr>
      <w:r>
        <w:t xml:space="preserve">The second vertical derivative is often considered useful. But what is the</w:t>
      </w:r>
      <w:r>
        <w:t xml:space="preserve"> </w:t>
      </w:r>
      <w:r>
        <w:t xml:space="preserve">first vertical derivative? It is the vertical rate of change of gravity, and</w:t>
      </w:r>
      <w:r>
        <w:t xml:space="preserve"> </w:t>
      </w:r>
      <w:r>
        <w:t xml:space="preserve">it is not easy to find unless you measure gravity everywhere at two</w:t>
      </w:r>
      <w:r>
        <w:t xml:space="preserve"> </w:t>
      </w:r>
      <w:r>
        <w:t xml:space="preserve">elevations. However, gravity (a potential field) follows Laplace's equation,</w:t>
      </w:r>
      <w:r>
        <w:t xml:space="preserve"> </w:t>
      </w:r>
      <w:r>
        <w:t xml:space="preserve">which states that squared gradient of gravity equals 0: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g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g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p>
                <m:e>
                  <m:r>
                    <m:rPr>
                      <m:sty m:val="p"/>
                    </m:rPr>
                    <m:t>∂</m:t>
                  </m:r>
                </m:e>
                <m:sup>
                  <m:r>
                    <m:t>2</m:t>
                  </m:r>
                </m:sup>
              </m:sSup>
              <m:r>
                <m:t>g</m:t>
              </m:r>
            </m:num>
            <m:den>
              <m:r>
                <m:rPr>
                  <m:sty m:val="p"/>
                </m:rPr>
                <m:t>∂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The</w:t>
      </w:r>
      <w:r>
        <w:t xml:space="preserve"> </w:t>
      </w:r>
      <m:oMath>
        <m:sSup>
          <m:e>
            <m:r>
              <m:rPr>
                <m:sty m:val="p"/>
              </m:rPr>
              <m:t>∂</m:t>
            </m:r>
          </m:e>
          <m:sup>
            <m:r>
              <m:t>2</m:t>
            </m:r>
          </m:sup>
        </m:sSup>
        <m:r>
          <m:t>g</m:t>
        </m:r>
        <m:r>
          <m:rPr>
            <m:sty m:val="p"/>
          </m:rPr>
          <m:t>/</m:t>
        </m:r>
        <m:r>
          <m:rPr>
            <m:sty m:val="p"/>
          </m:rPr>
          <m:t>∂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>
                <m:sty m:val="p"/>
              </m:rPr>
              <m:t>∂</m:t>
            </m:r>
          </m:e>
          <m:sup>
            <m:r>
              <m:t>2</m:t>
            </m:r>
          </m:sup>
        </m:sSup>
        <m:r>
          <m:t>g</m:t>
        </m:r>
        <m:r>
          <m:rPr>
            <m:sty m:val="p"/>
          </m:rPr>
          <m:t>/</m:t>
        </m:r>
        <m:r>
          <m:rPr>
            <m:sty m:val="p"/>
          </m:rPr>
          <m:t>∂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terms can be obtained directly from a Bouguer anomaly map, so the</w:t>
      </w:r>
      <w:r>
        <w:t xml:space="preserve"> </w:t>
      </w:r>
      <m:oMath>
        <m:sSup>
          <m:e>
            <m:r>
              <m:rPr>
                <m:sty m:val="p"/>
              </m:rPr>
              <m:t>∂</m:t>
            </m:r>
          </m:e>
          <m:sup>
            <m:r>
              <m:t>2</m:t>
            </m:r>
          </m:sup>
        </m:sSup>
        <m:r>
          <m:t>g</m:t>
        </m:r>
        <m:r>
          <m:rPr>
            <m:sty m:val="p"/>
          </m:rPr>
          <m:t>/</m:t>
        </m:r>
        <m:r>
          <m:rPr>
            <m:sty m:val="p"/>
          </m:rPr>
          <m:t>∂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 can be derived. This last term</w:t>
      </w:r>
      <w:r>
        <w:t xml:space="preserve"> </w:t>
      </w:r>
      <w:r>
        <w:t xml:space="preserve">describes how fast the "vertical rate of change in gravity" is changing.</w:t>
      </w:r>
      <w:r>
        <w:t xml:space="preserve"> </w:t>
      </w:r>
      <w:r>
        <w:t xml:space="preserve">However the success of this process depends upon adequate data spacing. These</w:t>
      </w:r>
      <w:r>
        <w:t xml:space="preserve"> </w:t>
      </w:r>
      <w:r>
        <w:t xml:space="preserve">types of calculations are very efficient in the Fourier domain - something</w:t>
      </w:r>
      <w:r>
        <w:t xml:space="preserve"> </w:t>
      </w:r>
      <w:r>
        <w:t xml:space="preserve">beyond the scope of this presentation.</w:t>
      </w:r>
    </w:p>
    <w:p>
      <w:pPr>
        <w:pStyle w:val="BodyText"/>
      </w:pPr>
      <w:r>
        <w:t xml:space="preserve">Making these types of processed maps is sometimes useful, but not always</w:t>
      </w:r>
      <w:r>
        <w:t xml:space="preserve"> </w:t>
      </w:r>
      <w:r>
        <w:t xml:space="preserve">worthwhile. Two examples are given below: 1) salt domes where the process was</w:t>
      </w:r>
      <w:r>
        <w:t xml:space="preserve"> </w:t>
      </w:r>
      <w:r>
        <w:t xml:space="preserve">beneficial, 2) a mineral exploration setting where it was not so useful.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./images/2ndvertsalt.gif</w:t>
            </w:r>
          </w:p>
        </w:tc>
      </w:tr>
    </w:tbl>
    <w:p>
      <w:pPr>
        <w:pStyle w:val="ImageCaption"/>
      </w:pPr>
      <w:r>
        <w:t xml:space="preserve">Observed, residual after removing a regional component, and second</w:t>
      </w:r>
      <w:r>
        <w:t xml:space="preserve"> </w:t>
      </w:r>
      <w:r>
        <w:t xml:space="preserve">vertical derivative calculated using horizontal derivatives measured from</w:t>
      </w:r>
      <w:r>
        <w:t xml:space="preserve"> </w:t>
      </w:r>
      <w:r>
        <w:t xml:space="preserve">the data set. Details about the salt domes are clearer in the second</w:t>
      </w:r>
      <w:r>
        <w:t xml:space="preserve"> </w:t>
      </w:r>
      <w:r>
        <w:t xml:space="preserve">vertical derivative map.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./images/2ndvertnogood.gif</w:t>
            </w:r>
          </w:p>
        </w:tc>
      </w:tr>
    </w:tbl>
    <w:p>
      <w:pPr>
        <w:pStyle w:val="ImageCaption"/>
      </w:pPr>
      <w:r>
        <w:t xml:space="preserve">The Bouguer anomaly map (A) exhibits more useful information than the</w:t>
      </w:r>
      <w:r>
        <w:t xml:space="preserve"> </w:t>
      </w:r>
      <w:r>
        <w:t xml:space="preserve">corresponding second vertical derivative map (B).</w:t>
      </w:r>
    </w:p>
    <w:bookmarkEnd w:id="23"/>
    <w:bookmarkStart w:id="25" w:name="an-example"/>
    <w:p>
      <w:pPr>
        <w:pStyle w:val="Heading1"/>
      </w:pPr>
      <w:r>
        <w:t xml:space="preserve">An example</w:t>
      </w:r>
    </w:p>
    <w:p>
      <w:pPr>
        <w:pStyle w:val="FirstParagraph"/>
      </w:pPr>
      <w:r>
        <w:t xml:space="preserve">One recommended short example describes contributions of gravity to</w:t>
      </w:r>
      <w:r>
        <w:t xml:space="preserve"> </w:t>
      </w:r>
      <w:r>
        <w:t xml:space="preserve">hydrocarbon exploration in the complicated foothills environment, just</w:t>
      </w:r>
      <w:r>
        <w:t xml:space="preserve"> </w:t>
      </w:r>
      <w:r>
        <w:t xml:space="preserve">southwest of Calgary, Alberta. The take home message from that example is that</w:t>
      </w:r>
      <w:r>
        <w:t xml:space="preserve"> </w:t>
      </w:r>
      <w:r>
        <w:t xml:space="preserve">sparse data forces less-than-optimal results. Gravity has always suffered from</w:t>
      </w:r>
      <w:r>
        <w:t xml:space="preserve"> </w:t>
      </w:r>
      <w:r>
        <w:t xml:space="preserve">this problem (fewer measurements than desirable) because of the care required</w:t>
      </w:r>
      <w:r>
        <w:t xml:space="preserve"> </w:t>
      </w:r>
      <w:r>
        <w:t xml:space="preserve">for gravity, location and elevation measurements at each station. With the</w:t>
      </w:r>
      <w:r>
        <w:t xml:space="preserve"> </w:t>
      </w:r>
      <w:r>
        <w:t xml:space="preserve">invention of airborne gravity surveys, this problem can be reduced, so long as</w:t>
      </w:r>
      <w:r>
        <w:t xml:space="preserve"> </w:t>
      </w:r>
      <w:r>
        <w:t xml:space="preserve">the lower sensitivity of airborne measurements is sufficient for the task.</w:t>
      </w:r>
      <w:r>
        <w:t xml:space="preserve"> </w:t>
      </w:r>
      <w:r>
        <w:t xml:space="preserve">Currently airborne surveys are sensitive enough for most oil and gas</w:t>
      </w:r>
      <w:r>
        <w:t xml:space="preserve"> </w:t>
      </w:r>
      <w:r>
        <w:t xml:space="preserve">exploration problems, and for some large mineral exploration problems, but not</w:t>
      </w:r>
      <w:r>
        <w:t xml:space="preserve"> </w:t>
      </w:r>
      <w:r>
        <w:t xml:space="preserve">sensitive enough for engineeri &amp; environmentalng scale work. If you are</w:t>
      </w:r>
      <w:r>
        <w:t xml:space="preserve"> </w:t>
      </w:r>
      <w:r>
        <w:t xml:space="preserve">interested (it is short and easy) see</w:t>
      </w:r>
      <w:r>
        <w:t xml:space="preserve"> </w:t>
      </w:r>
      <w:hyperlink r:id="rId24">
        <w:r>
          <w:rPr>
            <w:rStyle w:val="Hyperlink"/>
          </w:rPr>
          <w:t xml:space="preserve">Turner Valley</w:t>
        </w:r>
      </w:hyperlink>
      <w:r>
        <w:t xml:space="preserve"> </w:t>
      </w:r>
      <w:r>
        <w:t xml:space="preserve">, Canada – A Case</w:t>
      </w:r>
      <w:r>
        <w:t xml:space="preserve"> </w:t>
      </w:r>
      <w:r>
        <w:t xml:space="preserve">History in Contemporary Airborne Gravity (links to the Sander Geophysics</w:t>
      </w:r>
      <w:r>
        <w:t xml:space="preserve"> </w:t>
      </w:r>
      <w:r>
        <w:t xml:space="preserve">Limited (SGL) website), by J.W. Peirce1, S. Sander2, R.A. Charters1, and V.</w:t>
      </w:r>
      <w:r>
        <w:t xml:space="preserve"> </w:t>
      </w:r>
      <w:r>
        <w:t xml:space="preserve">Lavoie, presented at the EAGE 64th Conference &amp; Exhibition — Florence, Italy,</w:t>
      </w:r>
      <w:r>
        <w:t xml:space="preserve"> </w:t>
      </w:r>
      <w:r>
        <w:t xml:space="preserve">27 - 30 May 2002.</w:t>
      </w:r>
    </w:p>
    <w:bookmarkEnd w:id="25"/>
    <w:bookmarkStart w:id="27" w:name="measuring-gradients"/>
    <w:p>
      <w:pPr>
        <w:pStyle w:val="Heading1"/>
      </w:pPr>
      <w:r>
        <w:t xml:space="preserve">Measuring gradients</w:t>
      </w:r>
    </w:p>
    <w:p>
      <w:pPr>
        <w:pStyle w:val="FirstParagraph"/>
      </w:pPr>
      <w:r>
        <w:t xml:space="preserve">We are talking now about measuring how gravity varies spatially - that is</w:t>
      </w:r>
      <w:r>
        <w:t xml:space="preserve"> </w:t>
      </w:r>
      <m:oMath>
        <m:r>
          <m:rPr>
            <m:sty m:val="p"/>
          </m:rPr>
          <m:t>∂</m:t>
        </m:r>
        <m:r>
          <m:t>g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∂</m:t>
        </m:r>
        <m:r>
          <m:t>g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y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rPr>
            <m:sty m:val="p"/>
          </m:rPr>
          <m:t>∂</m:t>
        </m:r>
        <m:r>
          <m:t>g</m:t>
        </m:r>
        <m:r>
          <m:rPr>
            <m:sty m:val="p"/>
          </m:rPr>
          <m:t>/</m:t>
        </m:r>
        <m:r>
          <m:rPr>
            <m:sty m:val="p"/>
          </m:rPr>
          <m:t>∂</m:t>
        </m:r>
        <m:r>
          <m:t>z</m:t>
        </m:r>
      </m:oMath>
      <w:r>
        <w:t xml:space="preserve">. In fact, there are units for gravitational</w:t>
      </w:r>
      <w:r>
        <w:t xml:space="preserve"> </w:t>
      </w:r>
      <w:r>
        <w:t xml:space="preserve">gradient - the Eotvos Unit (EU) which is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mGal/cm.</w:t>
      </w:r>
    </w:p>
    <w:p>
      <w:pPr>
        <w:pStyle w:val="BodyText"/>
      </w:pPr>
      <w:r>
        <w:t xml:space="preserve">However, if you think about it, we should really be more careful about what we</w:t>
      </w:r>
      <w:r>
        <w:t xml:space="preserve"> </w:t>
      </w:r>
      <w:r>
        <w:t xml:space="preserve">are measuring. We are familiar with measuring the vertical component of</w:t>
      </w:r>
      <w:r>
        <w:t xml:space="preserve"> </w:t>
      </w:r>
      <w:r>
        <w:t xml:space="preserve">gravity,</w:t>
      </w:r>
      <w:r>
        <w:t xml:space="preserve"> </w:t>
      </w:r>
      <m:oMath>
        <m:sSub>
          <m:e>
            <m:r>
              <m:t>g</m:t>
            </m:r>
          </m:e>
          <m:sub>
            <m:r>
              <m:t>z</m:t>
            </m:r>
          </m:sub>
        </m:sSub>
      </m:oMath>
      <w:r>
        <w:t xml:space="preserve">. However, it would be theoretically possible to measure</w:t>
      </w:r>
      <w:r>
        <w:t xml:space="preserve"> </w:t>
      </w:r>
      <m:oMath>
        <m:sSub>
          <m:e>
            <m:r>
              <m:t>g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g</m:t>
            </m:r>
          </m:e>
          <m:sub>
            <m:r>
              <m:t>y</m:t>
            </m:r>
          </m:sub>
        </m:sSub>
      </m:oMath>
      <w:r>
        <w:t xml:space="preserve">. In fact, one could consider how each of these three</w:t>
      </w:r>
      <w:r>
        <w:t xml:space="preserve"> </w:t>
      </w:r>
      <w:r>
        <w:t xml:space="preserve">components of gravity vary in all three directions. That represents nine</w:t>
      </w:r>
      <w:r>
        <w:t xml:space="preserve"> </w:t>
      </w:r>
      <w:r>
        <w:t xml:space="preserve">different "gradient" measurements. Given what you know about measuring</w:t>
      </w:r>
      <w:r>
        <w:t xml:space="preserve"> </w:t>
      </w:r>
      <m:oMath>
        <m:sSub>
          <m:e>
            <m:r>
              <m:t>g</m:t>
            </m:r>
          </m:e>
          <m:sub>
            <m:r>
              <m:t>z</m:t>
            </m:r>
          </m:sub>
        </m:sSub>
      </m:oMath>
      <w:r>
        <w:t xml:space="preserve">, measuring the other two components should sound like a very</w:t>
      </w:r>
      <w:r>
        <w:t xml:space="preserve"> </w:t>
      </w:r>
      <w:r>
        <w:t xml:space="preserve">difficult task. Well, you are right. It is very difficult. In fact, it turns</w:t>
      </w:r>
      <w:r>
        <w:t xml:space="preserve"> </w:t>
      </w:r>
      <w:r>
        <w:t xml:space="preserve">out to be easier to measure the gradients than the fields themselves. And, as</w:t>
      </w:r>
      <w:r>
        <w:t xml:space="preserve"> </w:t>
      </w:r>
      <w:r>
        <w:t xml:space="preserve">of roughly 1998 - 2001, there are systems that can make these measurements.</w:t>
      </w:r>
      <w:r>
        <w:t xml:space="preserve"> </w:t>
      </w:r>
      <w:r>
        <w:t xml:space="preserve">Are they useful measurements? Yes. Oil and mineral exploration companies would</w:t>
      </w:r>
      <w:r>
        <w:t xml:space="preserve"> </w:t>
      </w:r>
      <w:r>
        <w:t xml:space="preserve">not have spent millions of dollars developing the capacity if it were not</w:t>
      </w:r>
      <w:r>
        <w:t xml:space="preserve"> </w:t>
      </w:r>
      <w:r>
        <w:t xml:space="preserve">useful. But there is much research needed to learn how best to make use of the</w:t>
      </w:r>
      <w:r>
        <w:t xml:space="preserve"> </w:t>
      </w:r>
      <w:r>
        <w:t xml:space="preserve">results.</w:t>
      </w:r>
    </w:p>
    <w:p>
      <w:pPr>
        <w:pStyle w:val="BodyText"/>
      </w:pPr>
      <w:r>
        <w:t xml:space="preserve">Maps showing what measurements of gravitational gradients look like are given</w:t>
      </w:r>
      <w:r>
        <w:t xml:space="preserve"> </w:t>
      </w:r>
      <w:r>
        <w:t xml:space="preserve">on</w:t>
      </w:r>
      <w:r>
        <w:t xml:space="preserve"> </w:t>
      </w:r>
      <w:hyperlink r:id="rId26">
        <w:r>
          <w:rPr>
            <w:rStyle w:val="Hyperlink"/>
          </w:rPr>
          <w:t xml:space="preserve">a separate page of images</w:t>
        </w:r>
      </w:hyperlink>
      <w:r>
        <w:t xml:space="preserve"> </w:t>
      </w:r>
      <w:r>
        <w:t xml:space="preserve">. Evidently, different components emphasize</w:t>
      </w:r>
      <w:r>
        <w:t xml:space="preserve"> </w:t>
      </w:r>
      <w:r>
        <w:t xml:space="preserve">different aspects of a buried density contrast or target. Look at these</w:t>
      </w:r>
      <w:r>
        <w:t xml:space="preserve"> </w:t>
      </w:r>
      <w:r>
        <w:t xml:space="preserve">figures and consider these questions:</w:t>
      </w:r>
    </w:p>
    <w:p>
      <w:pPr>
        <w:pStyle w:val="Compact"/>
        <w:numPr>
          <w:ilvl w:val="0"/>
          <w:numId w:val="1001"/>
        </w:numPr>
      </w:pPr>
      <w:r>
        <w:t xml:space="preserve">Which emphasizes the feature's location? (answer =</w:t>
      </w:r>
      <w:r>
        <w:t xml:space="preserve"> </w:t>
      </w:r>
      <m:oMath>
        <m:sSub>
          <m:e>
            <m:r>
              <m:t>T</m:t>
            </m:r>
          </m:e>
          <m:sub>
            <m:r>
              <m:t>z</m:t>
            </m:r>
            <m:r>
              <m:t>z</m:t>
            </m:r>
          </m:sub>
        </m:sSub>
      </m:oMath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Which emphasize lineations in one or another direction? (answer =</w:t>
      </w:r>
      <w:r>
        <w:t xml:space="preserve"> </w:t>
      </w:r>
      <m:oMath>
        <m:sSub>
          <m:e>
            <m:r>
              <m:t>T</m:t>
            </m:r>
          </m:e>
          <m:sub>
            <m:r>
              <m:t>x</m:t>
            </m:r>
            <m:r>
              <m:t>x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y</m:t>
            </m:r>
            <m:r>
              <m:t>y</m:t>
            </m:r>
          </m:sub>
        </m:sSub>
      </m:oMath>
      <w:r>
        <w:t xml:space="preserve">)?</w:t>
      </w:r>
    </w:p>
    <w:p>
      <w:pPr>
        <w:pStyle w:val="Compact"/>
        <w:numPr>
          <w:ilvl w:val="0"/>
          <w:numId w:val="1001"/>
        </w:numPr>
      </w:pPr>
      <w:r>
        <w:t xml:space="preserve">Which emphasize the feature's edges? (answer =</w:t>
      </w:r>
      <w:r>
        <w:t xml:space="preserve"> </w:t>
      </w:r>
      <m:oMath>
        <m:sSub>
          <m:e>
            <m:r>
              <m:t>T</m:t>
            </m:r>
          </m:e>
          <m:sub>
            <m:r>
              <m:t>x</m:t>
            </m:r>
            <m:r>
              <m:t>z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T</m:t>
            </m:r>
          </m:e>
          <m:sub>
            <m:r>
              <m:t>y</m:t>
            </m:r>
            <m:r>
              <m:t>z</m:t>
            </m:r>
          </m:sub>
        </m:sSub>
      </m:oMath>
      <w:r>
        <w:t xml:space="preserve">)?</w:t>
      </w:r>
    </w:p>
    <w:p>
      <w:pPr>
        <w:pStyle w:val="Compact"/>
        <w:numPr>
          <w:ilvl w:val="0"/>
          <w:numId w:val="1001"/>
        </w:numPr>
      </w:pPr>
      <w:r>
        <w:t xml:space="preserve">What does the remaining component emphasize? (answer = edges)?</w:t>
      </w:r>
    </w:p>
    <w:p>
      <w:pPr>
        <w:pStyle w:val="FirstParagraph"/>
      </w:pPr>
      <w:r>
        <w:t xml:space="preserve">Consider some practical questions: How useful is this type of work? What kinds</w:t>
      </w:r>
      <w:r>
        <w:t xml:space="preserve"> </w:t>
      </w:r>
      <w:r>
        <w:t xml:space="preserve">of targets can be detected?</w:t>
      </w:r>
    </w:p>
    <w:p>
      <w:pPr>
        <w:pStyle w:val="Compact"/>
        <w:numPr>
          <w:ilvl w:val="0"/>
          <w:numId w:val="1002"/>
        </w:numPr>
      </w:pPr>
      <w:r>
        <w:t xml:space="preserve">The answers are usually expressed in terms of anomaly size, sampling rate,</w:t>
      </w:r>
      <w:r>
        <w:t xml:space="preserve"> </w:t>
      </w:r>
      <w:r>
        <w:t xml:space="preserve">and noise level of instruments.</w:t>
      </w:r>
    </w:p>
    <w:p>
      <w:pPr>
        <w:pStyle w:val="Compact"/>
        <w:numPr>
          <w:ilvl w:val="0"/>
          <w:numId w:val="1002"/>
        </w:numPr>
      </w:pPr>
      <w:r>
        <w:t xml:space="preserve">Current systems can just see very large mineral targets.</w:t>
      </w:r>
    </w:p>
    <w:p>
      <w:pPr>
        <w:pStyle w:val="Compact"/>
        <w:numPr>
          <w:ilvl w:val="0"/>
          <w:numId w:val="1002"/>
        </w:numPr>
      </w:pPr>
      <w:r>
        <w:t xml:space="preserve">Many oil and gas and structural geology targets can be imaged.</w:t>
      </w:r>
    </w:p>
    <w:p>
      <w:pPr>
        <w:pStyle w:val="Compact"/>
        <w:numPr>
          <w:ilvl w:val="0"/>
          <w:numId w:val="1002"/>
        </w:numPr>
      </w:pPr>
      <w:r>
        <w:t xml:space="preserve">Anticipated limit for future systems is a little better.</w:t>
      </w:r>
    </w:p>
    <w:bookmarkEnd w:id="27"/>
    <w:bookmarkStart w:id="29" w:name="other-forms-of-processing-for-maps"/>
    <w:p>
      <w:pPr>
        <w:pStyle w:val="Heading1"/>
      </w:pPr>
      <w:r>
        <w:t xml:space="preserve">Other forms of processing for maps</w:t>
      </w:r>
    </w:p>
    <w:p>
      <w:pPr>
        <w:pStyle w:val="FirstParagraph"/>
      </w:pPr>
      <w:r>
        <w:t xml:space="preserve">In the present version of this module we do not have time to include a section</w:t>
      </w:r>
      <w:r>
        <w:t xml:space="preserve"> </w:t>
      </w:r>
      <w:r>
        <w:t xml:space="preserve">that pursues other aspects of deriving alternative forms of images from</w:t>
      </w:r>
      <w:r>
        <w:t xml:space="preserve"> </w:t>
      </w:r>
      <w:r>
        <w:t xml:space="preserve">gravity (and magnetics) maps. It is true, however, that there are many forms</w:t>
      </w:r>
      <w:r>
        <w:t xml:space="preserve"> </w:t>
      </w:r>
      <w:r>
        <w:t xml:space="preserve">of processing that are used. Two excellent introductions can be found at the</w:t>
      </w:r>
      <w:r>
        <w:t xml:space="preserve"> </w:t>
      </w:r>
      <w:r>
        <w:t xml:space="preserve">following locations:</w:t>
      </w:r>
    </w:p>
    <w:p>
      <w:pPr>
        <w:pStyle w:val="Compact"/>
        <w:numPr>
          <w:ilvl w:val="0"/>
          <w:numId w:val="1003"/>
        </w:numPr>
      </w:pPr>
      <w:r>
        <w:t xml:space="preserve">If you are interested, there are some interactive figures on frequency</w:t>
      </w:r>
      <w:r>
        <w:t xml:space="preserve"> </w:t>
      </w:r>
      <w:r>
        <w:t xml:space="preserve">domain filtering at</w:t>
      </w:r>
      <w:r>
        <w:t xml:space="preserve"> </w:t>
      </w:r>
      <w:hyperlink r:id="rId28">
        <w:r>
          <w:rPr>
            <w:rStyle w:val="Hyperlink"/>
          </w:rPr>
          <w:t xml:space="preserve">http://www.geoexplo.com/airborne_survey_workshop_filtering.html</w:t>
        </w:r>
      </w:hyperlink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There is a good summary of Advanced Processing of Potential Fields by Getech</w:t>
      </w:r>
      <w:r>
        <w:t xml:space="preserve"> </w:t>
      </w:r>
      <w:r>
        <w:t xml:space="preserve">(Houston, and Leeds). See the tutorial on-line at Getech via Advanced</w:t>
      </w:r>
      <w:r>
        <w:t xml:space="preserve"> </w:t>
      </w:r>
      <w:r>
        <w:t xml:space="preserve">Processing of Potential Field Data.</w:t>
      </w:r>
    </w:p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://www.eoas.ubc.ca/courses/eosc350/content/methods/meth_4/assets/gravgrad-figs.pdf" TargetMode="External" /><Relationship Type="http://schemas.openxmlformats.org/officeDocument/2006/relationships/hyperlink" Id="rId28" Target="http://www.geoexplo.com/airborne_survey_workshop_filtering.html" TargetMode="External" /><Relationship Type="http://schemas.openxmlformats.org/officeDocument/2006/relationships/hyperlink" Id="rId24" Target="http://www.sgl.com/technicalpapers/EAGEabst-final-TV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://www.eoas.ubc.ca/courses/eosc350/content/methods/meth_4/assets/gravgrad-figs.pdf" TargetMode="External" /><Relationship Type="http://schemas.openxmlformats.org/officeDocument/2006/relationships/hyperlink" Id="rId28" Target="http://www.geoexplo.com/airborne_survey_workshop_filtering.html" TargetMode="External" /><Relationship Type="http://schemas.openxmlformats.org/officeDocument/2006/relationships/hyperlink" Id="rId24" Target="http://www.sgl.com/technicalpapers/EAGEabst-final-TV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Gravity gradients</dc:title>
  <dc:creator/>
  <cp:keywords/>
  <dcterms:created xsi:type="dcterms:W3CDTF">2025-01-16T09:29:02Z</dcterms:created>
  <dcterms:modified xsi:type="dcterms:W3CDTF">2025-01-16T09:29:02Z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