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 principles</w:t>
      </w:r>
    </w:p>
    <w:bookmarkStart w:id="20" w:name="X33dfd3e6de0685935a74bd6861b0348374b4dbc"/>
    <w:p>
      <w:pPr>
        <w:pStyle w:val="Heading1"/>
      </w:pPr>
      <w:r>
        <w:t xml:space="preserve">Effects of IP on Geophysical Measurements</w:t>
      </w:r>
    </w:p>
    <w:p>
      <w:pPr>
        <w:pStyle w:val="FirstParagraph"/>
      </w:pPr>
      <w:r>
        <w:t xml:space="preserve">To demonstrate the effects of induced polarization on geophysical</w:t>
      </w:r>
      <w:r>
        <w:t xml:space="preserve"> </w:t>
      </w:r>
      <w:r>
        <w:t xml:space="preserve">measurements, consider a specific example where a current generator,</w:t>
      </w:r>
      <w:r>
        <w:t xml:space="preserve"> </w:t>
      </w:r>
      <w:r>
        <w:t xml:space="preserve">hooked to the ground as in a DC survey, is turned on.</w:t>
      </w:r>
      <w:r>
        <w:t xml:space="preserve"> </w:t>
      </w:r>
      <w:r>
        <w:t xml:space="preserve">At some location, the electric</w:t>
      </w:r>
      <w:r>
        <w:t xml:space="preserve"> </w:t>
      </w:r>
      <w:r>
        <w:t xml:space="preserve">potential (</w:t>
      </w:r>
      <m:oMath>
        <m:r>
          <m:t>V</m:t>
        </m:r>
      </m:oMath>
      <w:r>
        <w:t xml:space="preserve">) is measured. In non-chargeable rocks, an instantaneous</w:t>
      </w:r>
      <w:r>
        <w:t xml:space="preserve"> </w:t>
      </w:r>
      <w:r>
        <w:t xml:space="preserve">increase in the measured potential occurs when the source is switched</w:t>
      </w:r>
      <w:r>
        <w:t xml:space="preserve"> </w:t>
      </w:r>
      <w:r>
        <w:t xml:space="preserve">on. When the source is switched off, the current through the Earth returns</w:t>
      </w:r>
      <w:r>
        <w:t xml:space="preserve"> </w:t>
      </w:r>
      <w:r>
        <w:t xml:space="preserve">immediately to zero and</w:t>
      </w:r>
      <w:r>
        <w:t xml:space="preserve"> </w:t>
      </w:r>
      <w:r>
        <w:t xml:space="preserve">so is the measured potential. This is illustrated in the figure below.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images/IP_source.gif</w:t>
            </w:r>
          </w:p>
        </w:tc>
      </w:tr>
    </w:tbl>
    <w:p>
      <w:pPr>
        <w:pStyle w:val="BodyText"/>
      </w:pPr>
      <w:r>
        <w:t xml:space="preserve">If the ground is chargeable, there will also be an instantaneous jump in the</w:t>
      </w:r>
      <w:r>
        <w:t xml:space="preserve"> </w:t>
      </w:r>
      <w:r>
        <w:t xml:space="preserve">measured potential when the source is switched on; we denote as</w:t>
      </w:r>
      <w:r>
        <w:t xml:space="preserve"> </w:t>
      </w:r>
      <m:oMath>
        <m:sSub>
          <m:e>
            <m:r>
              <m:t>V</m:t>
            </m:r>
          </m:e>
          <m:sub>
            <m:r>
              <m:t>σ</m:t>
            </m:r>
          </m:sub>
        </m:sSub>
      </m:oMath>
      <w:r>
        <w:t xml:space="preserve">. However, the subsequent build-up of ionic charges during the</w:t>
      </w:r>
      <w:r>
        <w:t xml:space="preserve"> </w:t>
      </w:r>
      <w:r>
        <w:t xml:space="preserve">on-time results in a corresponding increase in the measured potential; which</w:t>
      </w:r>
      <w:r>
        <w:t xml:space="preserve"> </w:t>
      </w:r>
      <w:r>
        <w:t xml:space="preserve">is sometimes referred to as the over-voltage. Eventually, the build-up of</w:t>
      </w:r>
      <w:r>
        <w:t xml:space="preserve"> </w:t>
      </w:r>
      <w:r>
        <w:t xml:space="preserve">ionic charges reaches saturation, resulting in a final measured potential</w:t>
      </w:r>
      <w:r>
        <w:t xml:space="preserve"> </w:t>
      </w:r>
      <w:r>
        <w:t xml:space="preserve">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). In general, the measured potential after the source is switched</w:t>
      </w:r>
      <w:r>
        <w:t xml:space="preserve"> </w:t>
      </w:r>
      <w:r>
        <w:t xml:space="preserve">(</w:t>
      </w:r>
      <m:oMath>
        <m:sSub>
          <m:e>
            <m:r>
              <m:t>V</m:t>
            </m:r>
          </m:e>
          <m:sub>
            <m:r>
              <m:t>o</m:t>
            </m:r>
            <m:r>
              <m:t>n</m:t>
            </m:r>
          </m:sub>
        </m:sSub>
      </m:oMath>
      <w:r>
        <w:t xml:space="preserve">) can be expressed as: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images/chargeability_physics2.png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o</m:t>
              </m:r>
              <m:r>
                <m:t>n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s</m:t>
              </m:r>
            </m:sub>
          </m:sSub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r>
                    <m:t>τ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amplitude of the over-voltage and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is a</w:t>
      </w:r>
      <w:r>
        <w:t xml:space="preserve"> </w:t>
      </w:r>
      <w:r>
        <w:t xml:space="preserve">constant which determines the rate at which the induced polarization forms.</w:t>
      </w:r>
    </w:p>
    <w:p>
      <w:pPr>
        <w:pStyle w:val="BodyText"/>
      </w:pPr>
      <w:r>
        <w:t xml:space="preserve">When the source is switched off, there is an instantaneous drop in the</w:t>
      </w:r>
      <w:r>
        <w:t xml:space="preserve"> </w:t>
      </w:r>
      <w:r>
        <w:t xml:space="preserve">measured potential equal to</w:t>
      </w:r>
      <w:r>
        <w:t xml:space="preserve"> </w:t>
      </w:r>
      <m:oMath>
        <m:sSub>
          <m:e>
            <m:r>
              <m:t>V</m:t>
            </m:r>
          </m:e>
          <m:sub>
            <m:r>
              <m:t>σ</m:t>
            </m:r>
          </m:sub>
        </m:sSub>
      </m:oMath>
      <w:r>
        <w:t xml:space="preserve">. Subsequently, the accumulated</w:t>
      </w:r>
      <w:r>
        <w:t xml:space="preserve"> </w:t>
      </w:r>
      <w:r>
        <w:t xml:space="preserve">charges begin to diffuse, resulting in a measured potential which decays</w:t>
      </w:r>
      <w:r>
        <w:t xml:space="preserve"> </w:t>
      </w:r>
      <w:r>
        <w:t xml:space="preserve">according 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o</m:t>
              </m:r>
              <m:r>
                <m:t>f</m:t>
              </m:r>
              <m:r>
                <m:t>f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t> 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t>τ</m:t>
              </m:r>
            </m:sup>
          </m:sSup>
        </m:oMath>
      </m:oMathPara>
    </w:p>
    <w:p>
      <w:pPr>
        <w:pStyle w:val="FirstParagraph"/>
      </w:pPr>
      <w:r>
        <w:t xml:space="preserve">This decaying off-time potential is commonly called the discharge curve.</w:t>
      </w:r>
      <w:r>
        <w:t xml:space="preserve"> </w:t>
      </w:r>
      <w:r>
        <w:t xml:space="preserve">We use the discharge curve to characterize the chargeable properties of the Earth.</w:t>
      </w:r>
    </w:p>
    <w:bookmarkEnd w:id="20"/>
    <w:bookmarkStart w:id="21" w:name="definitions-for-chargeability"/>
    <w:p>
      <w:pPr>
        <w:pStyle w:val="Heading1"/>
      </w:pPr>
      <w:r>
        <w:t xml:space="preserve">Definitions for Chargeability</w:t>
      </w:r>
    </w:p>
    <w:p>
      <w:pPr>
        <w:pStyle w:val="FirstParagraph"/>
      </w:pPr>
      <w:r>
        <w:t xml:space="preserve">It is convenient to consider "chargeabilty" as an independent physical property but</w:t>
      </w:r>
      <w:r>
        <w:t xml:space="preserve"> </w:t>
      </w:r>
      <w:r>
        <w:t xml:space="preserve">in reality it is an integral component of the electrical conductivity. It describes</w:t>
      </w:r>
      <w:r>
        <w:t xml:space="preserve"> </w:t>
      </w:r>
      <w:r>
        <w:t xml:space="preserve">how the conductivity changes with frequency. If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denotes the conductivity</w:t>
      </w:r>
      <w:r>
        <w:t xml:space="preserve"> </w:t>
      </w:r>
      <w:r>
        <w:t xml:space="preserve">at zero frequency and if</w:t>
      </w:r>
      <w:r>
        <w:t xml:space="preserve"> </w:t>
      </w:r>
      <m:oMath>
        <m:sSub>
          <m:e>
            <m:r>
              <m:t>σ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 </w:t>
      </w:r>
      <w:r>
        <w:t xml:space="preserve">is the conductivity at infinite frequency</w:t>
      </w:r>
      <w:r>
        <w:t xml:space="preserve"> </w:t>
      </w:r>
      <w:r>
        <w:t xml:space="preserve">then the chargeability is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rPr>
                      <m:sty m:val="p"/>
                    </m:rPr>
                    <m:t>∞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σ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rPr>
                      <m:sty m:val="p"/>
                    </m:rPr>
                    <m:t>∞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is a dimensionless number varying between 0 &lt;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&lt; 1. It is</w:t>
      </w:r>
      <w:r>
        <w:t xml:space="preserve"> </w:t>
      </w:r>
      <w:r>
        <w:t xml:space="preserve">often referred to as the intrinsic chargeability. The above definition</w:t>
      </w:r>
      <w:r>
        <w:t xml:space="preserve"> </w:t>
      </w:r>
      <w:r>
        <w:t xml:space="preserve">is equivalent to defining the</w:t>
      </w:r>
      <w:r>
        <w:t xml:space="preserve"> </w:t>
      </w:r>
      <w:r>
        <w:t xml:space="preserve">intrinsic chargeability as the ratio between the amplitude of the over-voltage (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)</w:t>
      </w:r>
      <w:r>
        <w:t xml:space="preserve"> </w:t>
      </w:r>
      <w:r>
        <w:t xml:space="preserve">and the DC voltage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intrinsic chargeability for materials is rarely provided in tables. Rather, numbers</w:t>
      </w:r>
      <w:r>
        <w:t xml:space="preserve"> </w:t>
      </w:r>
      <w:r>
        <w:t xml:space="preserve">based upon laboratory measurements of some characteristic of the induced polarization</w:t>
      </w:r>
      <w:r>
        <w:t xml:space="preserve"> </w:t>
      </w:r>
      <w:r>
        <w:t xml:space="preserve">response is provided. Those measurements can be in time or frequency and the units</w:t>
      </w:r>
      <w:r>
        <w:t xml:space="preserve"> </w:t>
      </w:r>
      <w:r>
        <w:t xml:space="preserve">of the "chargeability" are inherited from the data. We outline below: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principles</dc:title>
  <dc:creator/>
  <cp:keywords/>
  <dcterms:created xsi:type="dcterms:W3CDTF">2025-01-16T09:29:03Z</dcterms:created>
  <dcterms:modified xsi:type="dcterms:W3CDTF">2025-01-16T09:29:03Z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