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There are four techniques for observing chargeability: two using a charging</w:t>
      </w:r>
      <w:r>
        <w:t xml:space="preserve"> </w:t>
      </w:r>
      <w:r>
        <w:t xml:space="preserve">current that is turned abruptly off so that discharging can be observed in the</w:t>
      </w:r>
      <w:r>
        <w:t xml:space="preserve"> </w:t>
      </w:r>
      <w:r>
        <w:t xml:space="preserve">time domain, and two in which the dispersive nature (or effect as a function</w:t>
      </w:r>
      <w:r>
        <w:t xml:space="preserve"> </w:t>
      </w:r>
      <w:r>
        <w:t xml:space="preserve">of frequency) of the phenomenon is observed in the frequency domain.</w:t>
      </w:r>
    </w:p>
    <w:bookmarkEnd w:id="20"/>
    <w:bookmarkStart w:id="23" w:name="two-types-of-time-domain-data"/>
    <w:p>
      <w:pPr>
        <w:pStyle w:val="Heading1"/>
      </w:pPr>
      <w:r>
        <w:t xml:space="preserve">Two types of time domain data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bookmarkStart w:id="21" w:name="duty_cylce"/>
            <w:r>
              <w:t xml:space="preserve">./images/IP_source.gif</w:t>
            </w:r>
            <w:bookmarkEnd w:id="21"/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./images/potentials.gif</w:t>
            </w:r>
          </w:p>
        </w:tc>
      </w:tr>
    </w:tbl>
    <w:p>
      <w:pPr>
        <w:pStyle w:val="FirstParagraph"/>
      </w:pPr>
      <w:r>
        <w:t xml:space="preserve">Consider the experiment illustrated in the following figure. Current,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w:r>
        <w:t xml:space="preserve">is injected into the ground at the source electrodes and voltage,</w:t>
      </w:r>
      <w:r>
        <w:t xml:space="preserve"> </w:t>
      </w:r>
      <m:oMath>
        <m:r>
          <m:t>V</m:t>
        </m:r>
      </m:oMath>
      <w:r>
        <w:t xml:space="preserve">, is</w:t>
      </w:r>
      <w:r>
        <w:t xml:space="preserve"> </w:t>
      </w:r>
      <w:r>
        <w:t xml:space="preserve">measured at the potential electrodes. The source is DC (direct current) in the</w:t>
      </w:r>
      <w:r>
        <w:t xml:space="preserve"> </w:t>
      </w:r>
      <w:r>
        <w:t xml:space="preserve">sense that when it is on, there is no variation. However, in this case it is</w:t>
      </w:r>
      <w:r>
        <w:t xml:space="preserve"> </w:t>
      </w:r>
      <w:r>
        <w:t xml:space="preserve">turned on and off with a duty cycle as shown above. Two methods of</w:t>
      </w:r>
      <w:r>
        <w:t xml:space="preserve"> </w:t>
      </w:r>
      <w:r>
        <w:t xml:space="preserve">measuring chargeability in the time domain are described below.</w:t>
      </w:r>
    </w:p>
    <w:p>
      <w:pPr>
        <w:numPr>
          <w:ilvl w:val="0"/>
          <w:numId w:val="1001"/>
        </w:numPr>
      </w:pPr>
      <w:r>
        <w:t xml:space="preserve">The following is a definition of chargeability but it is not possible to</w:t>
      </w:r>
      <w:r>
        <w:t xml:space="preserve"> </w:t>
      </w:r>
      <w:r>
        <w:t xml:space="preserve">measure it exactly in the field. The figure to the right shows voltage</w:t>
      </w:r>
      <w:r>
        <w:t xml:space="preserve"> </w:t>
      </w:r>
      <w:r>
        <w:t xml:space="preserve">measured when the transmitter is first turned on and then turned off some time</w:t>
      </w:r>
      <w:r>
        <w:t xml:space="preserve"> </w:t>
      </w:r>
      <w:r>
        <w:t xml:space="preserve">later. Using parameters from this figure, one definition of chargeability 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S</m:t>
            </m:r>
          </m:sub>
        </m:sSub>
        <m:r>
          <m:rPr>
            <m:sty m:val="p"/>
          </m:rPr>
          <m:t>/</m:t>
        </m:r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are the steady state and</w:t>
      </w:r>
      <w:r>
        <w:t xml:space="preserve"> </w:t>
      </w:r>
      <w:r>
        <w:t xml:space="preserve">"secondary" potentials, respectively.</w:t>
      </w:r>
    </w:p>
    <w:p>
      <w:pPr>
        <w:pStyle w:val="Compact"/>
        <w:numPr>
          <w:ilvl w:val="1"/>
          <w:numId w:val="1002"/>
        </w:numPr>
      </w:pPr>
      <w:r>
        <w:t xml:space="preserve">The leading edge potential</w:t>
      </w:r>
      <w:r>
        <w:t xml:space="preserve"> </w:t>
      </w:r>
      <m:oMath>
        <m:sSub>
          <m:e>
            <m:r>
              <m:t>V</m:t>
            </m:r>
          </m:e>
          <m:sub>
            <m:r>
              <m:t>σ</m:t>
            </m:r>
          </m:sub>
        </m:sSub>
      </m:oMath>
      <w:r>
        <w:t xml:space="preserve"> </w:t>
      </w:r>
      <w:r>
        <w:t xml:space="preserve">is what would be measured in</w:t>
      </w:r>
      <w:r>
        <w:t xml:space="preserve"> </w:t>
      </w:r>
      <w:r>
        <w:t xml:space="preserve">the absence of chargeability. This potential would yield the ground's</w:t>
      </w:r>
      <w:r>
        <w:t xml:space="preserve"> </w:t>
      </w:r>
      <w:r>
        <w:t xml:space="preserve">resistivity.</w:t>
      </w:r>
    </w:p>
    <w:p>
      <w:pPr>
        <w:pStyle w:val="Compact"/>
        <w:numPr>
          <w:ilvl w:val="1"/>
          <w:numId w:val="1002"/>
        </w:numPr>
      </w:pPr>
      <w:r>
        <w:t xml:space="preserve">The steady state,</w:t>
      </w:r>
      <w:r>
        <w:t xml:space="preserve"> </w:t>
      </w:r>
      <m:oMath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(with a subscript</w:t>
      </w:r>
      <w:r>
        <w:t xml:space="preserve"> </w:t>
      </w:r>
      <w:r>
        <w:rPr>
          <w:i/>
          <w:iCs/>
        </w:rPr>
        <w:t xml:space="preserve">m</w:t>
      </w:r>
      <w:r>
        <w:t xml:space="preserve"> </w:t>
      </w:r>
      <w:r>
        <w:t xml:space="preserve">in the figure above),</w:t>
      </w:r>
      <w:r>
        <w:t xml:space="preserve"> </w:t>
      </w:r>
      <w:r>
        <w:t xml:space="preserve">often referred to as the primary potential, is the combined effect of</w:t>
      </w:r>
      <w:r>
        <w:t xml:space="preserve"> </w:t>
      </w:r>
      <w:r>
        <w:t xml:space="preserve">current flowing in the ground and charges built up under the influence of</w:t>
      </w:r>
      <w:r>
        <w:t xml:space="preserve"> </w:t>
      </w:r>
      <w:r>
        <w:t xml:space="preserve">the imposed electric field.</w:t>
      </w:r>
    </w:p>
    <w:p>
      <w:pPr>
        <w:pStyle w:val="Compact"/>
        <w:numPr>
          <w:ilvl w:val="1"/>
          <w:numId w:val="1002"/>
        </w:numPr>
      </w:pPr>
      <w:r>
        <w:t xml:space="preserve">The secondary potential is entirely due to the charge imbalance resulting</w:t>
      </w:r>
      <w:r>
        <w:t xml:space="preserve"> </w:t>
      </w:r>
      <w:r>
        <w:t xml:space="preserve">from the build-up of charge.</w:t>
      </w:r>
    </w:p>
    <w:p>
      <w:pPr>
        <w:pStyle w:val="Compact"/>
        <w:numPr>
          <w:ilvl w:val="1"/>
          <w:numId w:val="1002"/>
        </w:numPr>
      </w:pPr>
      <w:r>
        <w:t xml:space="preserve">Using this form, chargeability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will be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&lt;</m:t>
        </m:r>
        <m:r>
          <m:t>1</m:t>
        </m:r>
      </m:oMath>
      <w:r>
        <w:t xml:space="preserve">. If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the measured potential will follow the input current waveform exactly</w:t>
      </w:r>
      <w:r>
        <w:t xml:space="preserve"> </w:t>
      </w:r>
      <w:r>
        <w:t xml:space="preserve">with no charging or discharging involved, as shown in the first column of</w:t>
      </w:r>
      <w:r>
        <w:t xml:space="preserve"> </w:t>
      </w:r>
      <w:r>
        <w:t xml:space="preserve">the figure above.</w:t>
      </w:r>
    </w:p>
    <w:p>
      <w:pPr>
        <w:numPr>
          <w:ilvl w:val="0"/>
          <w:numId w:val="1001"/>
        </w:numPr>
      </w:pPr>
      <w:r>
        <w:t xml:space="preserve">The most commonly measured form of time domain IP is the normalized area</w:t>
      </w:r>
      <w:r>
        <w:t xml:space="preserve"> </w:t>
      </w:r>
      <w:r>
        <w:t xml:space="preserve">under the decay curve. It can be represented by the following equation, using</w:t>
      </w:r>
      <w:r>
        <w:t xml:space="preserve"> </w:t>
      </w:r>
      <w:r>
        <w:t xml:space="preserve">parameters specified in the adjacent figure. The decaying potential that</w:t>
      </w:r>
      <w:r>
        <w:t xml:space="preserve"> </w:t>
      </w:r>
      <w:r>
        <w:t xml:space="preserve">follows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written as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Chargeability,</w:t>
      </w:r>
      <w:r>
        <w:t xml:space="preserve"> </w:t>
      </w:r>
      <m:oMath>
        <m:r>
          <m:t>M</m:t>
        </m:r>
      </m:oMath>
      <w:r>
        <w:t xml:space="preserve">, is essentially the red area under the decay curve,</w:t>
      </w:r>
      <w:r>
        <w:t xml:space="preserve"> </w:t>
      </w:r>
      <w:r>
        <w:t xml:space="preserve">normalized by the source voltage.</w:t>
      </w:r>
    </w:p>
    <w:p>
      <w:pPr>
        <w:pStyle w:val="Block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P</m:t>
                  </m:r>
                </m:sub>
              </m:sSub>
            </m:den>
          </m:f>
          <m:r>
            <m:rPr>
              <m:sty m:val="p"/>
            </m:rPr>
            <m:t>∫</m:t>
          </m:r>
          <m:r>
            <m:t>​</m:t>
          </m:r>
          <m:sSub>
            <m:e>
              <m:r>
                <m:t>V</m:t>
              </m:r>
            </m:e>
            <m:sub>
              <m:r>
                <m:t>S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t</m:t>
          </m:r>
        </m:oMath>
      </m:oMathPara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./images/source_and_measured_V.gif</w:t>
            </w:r>
          </w:p>
        </w:tc>
      </w:tr>
    </w:tbl>
    <w:bookmarkStart w:id="22" w:name="integrated-chargeability"/>
    <w:p>
      <w:pPr>
        <w:pStyle w:val="Heading2"/>
      </w:pPr>
      <w:r>
        <w:t xml:space="preserve">Integrated Chargeability</w:t>
      </w:r>
    </w:p>
    <w:p>
      <w:pPr>
        <w:pStyle w:val="FirstParagraph"/>
      </w:pPr>
      <w:r>
        <w:t xml:space="preserve">The integrated chargeability (</w:t>
      </w:r>
      <m:oMath>
        <m:r>
          <m:t>M</m:t>
        </m:r>
      </m:oMath>
      <w:r>
        <w:t xml:space="preserve">) characterizes the quantity of potential energy stored within a chargeable rock due to the accumulation of ionic charges.</w:t>
      </w:r>
      <w:r>
        <w:t xml:space="preserve"> </w:t>
      </w:r>
      <w:r>
        <w:t xml:space="preserve">The integrated chargeability is defined as the area under the discharge curve normalized by the DC voltage 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m</m:t>
                  </m:r>
                </m:sub>
              </m:sSub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sup>
            <m:e>
              <m:sSub>
                <m:e>
                  <m:r>
                    <m:t>V</m:t>
                  </m:r>
                </m:e>
                <m:sub>
                  <m:r>
                    <m:t>o</m:t>
                  </m:r>
                  <m:r>
                    <m:t>f</m:t>
                  </m:r>
                  <m:r>
                    <m:t>f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 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Numerical values for the integrated chargeability are typically given in ms.</w:t>
      </w:r>
    </w:p>
    <w:p>
      <w:pPr>
        <w:pStyle w:val="BodyText"/>
      </w:pPr>
      <w:r>
        <w:t xml:space="preserve">For practical measurements, we do not integrate over the entire discharge curve.</w:t>
      </w:r>
      <w:r>
        <w:t xml:space="preserve"> </w:t>
      </w:r>
      <w:r>
        <w:t xml:space="preserve">Instead, a finite interval of integration is chosen.</w:t>
      </w:r>
      <w:r>
        <w:t xml:space="preserve"> </w:t>
      </w:r>
      <w:r>
        <w:t xml:space="preserve">For example, the Newmont standard chargeability integrates from t = 0.15 s to 1.1 s.</w:t>
      </w:r>
    </w:p>
    <w:bookmarkEnd w:id="22"/>
    <w:bookmarkEnd w:id="23"/>
    <w:bookmarkStart w:id="25" w:name="two-types-of-frequency-domain-data"/>
    <w:p>
      <w:pPr>
        <w:pStyle w:val="Heading1"/>
      </w:pPr>
      <w:r>
        <w:t xml:space="preserve">Two types of frequency domain data</w:t>
      </w:r>
    </w:p>
    <w:p>
      <w:pPr>
        <w:pStyle w:val="FirstParagraph"/>
      </w:pPr>
      <w:r>
        <w:t xml:space="preserve">An oscillating source current can be employed to observe chargeability. The</w:t>
      </w:r>
      <w:r>
        <w:t xml:space="preserve"> </w:t>
      </w:r>
      <w:r>
        <w:t xml:space="preserve">measurements are often still referred to as "DC resistivity" because the</w:t>
      </w:r>
      <w:r>
        <w:t xml:space="preserve"> </w:t>
      </w:r>
      <w:r>
        <w:t xml:space="preserve">frequencies are relatively low. The resulting data will include (i) a "DC</w:t>
      </w:r>
      <w:r>
        <w:t xml:space="preserve"> </w:t>
      </w:r>
      <w:r>
        <w:t xml:space="preserve">resistivity" based upon the voltages measured with the lowest source</w:t>
      </w:r>
      <w:r>
        <w:t xml:space="preserve"> </w:t>
      </w:r>
      <w:r>
        <w:t xml:space="preserve">frequency, and (ii) a chargeability based upon the measurements explained</w:t>
      </w:r>
      <w:r>
        <w:t xml:space="preserve"> </w:t>
      </w:r>
      <w:r>
        <w:t xml:space="preserve">next. Two methods of measuring chargeability in the frequency domain are</w:t>
      </w:r>
      <w:r>
        <w:t xml:space="preserve"> </w:t>
      </w:r>
      <w:r>
        <w:t xml:space="preserve">described below.</w:t>
      </w:r>
    </w:p>
    <w:p>
      <w:pPr>
        <w:pStyle w:val="Compact"/>
        <w:numPr>
          <w:ilvl w:val="0"/>
          <w:numId w:val="1003"/>
        </w:numPr>
      </w:pPr>
      <w:r>
        <w:t xml:space="preserve">If the amplitude of the potential is measured at two frequencies, a measure</w:t>
      </w:r>
      <w:r>
        <w:t xml:space="preserve"> </w:t>
      </w:r>
      <w:r>
        <w:t xml:space="preserve">of chargeability is acquired, and it can be expressed as units of "*percent</w:t>
      </w:r>
      <w:r>
        <w:t xml:space="preserve"> </w:t>
      </w:r>
      <w:r>
        <w:t xml:space="preserve">frequency effect*" or PFE. Since the ground has less time to respond at higher</w:t>
      </w:r>
      <w:r>
        <w:t xml:space="preserve"> </w:t>
      </w:r>
      <w:r>
        <w:t xml:space="preserve">frequencies, the signal is expected to be smaller at the higher frequency.</w:t>
      </w:r>
      <w:r>
        <w:t xml:space="preserve"> </w:t>
      </w:r>
      <w:r>
        <w:t xml:space="preserve">Expressions for PFE are shown in the equations below. The data used in this</w:t>
      </w:r>
      <w:r>
        <w:t xml:space="preserve"> </w:t>
      </w:r>
      <w:r>
        <w:t xml:space="preserve">calculation are illustrated in the figure below. Recall that</w:t>
      </w:r>
      <w:r>
        <w:t xml:space="preserve"> </w:t>
      </w:r>
      <m:oMath>
        <m:sSub>
          <m:e>
            <m:r>
              <m:t>ρ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∣</m:t>
        </m:r>
        <m:r>
          <m:t>V</m:t>
        </m:r>
        <m:r>
          <m:rPr>
            <m:sty m:val="p"/>
          </m:rPr>
          <m:t>∣</m:t>
        </m:r>
        <m:r>
          <m:rPr>
            <m:sty m:val="p"/>
          </m:rPr>
          <m:t>/</m:t>
        </m:r>
        <m:r>
          <m:t>I</m:t>
        </m:r>
      </m:oMath>
      <w:r>
        <w:t xml:space="preserve"> </w:t>
      </w:r>
      <w:r>
        <w:t xml:space="preserve">, 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geometric factor based upon</w:t>
      </w:r>
      <w:r>
        <w:t xml:space="preserve"> </w:t>
      </w:r>
      <w:r>
        <w:t xml:space="preserve">electrode geometry (see the Geophysical surveys chapter, "DC resistivity"</w:t>
      </w:r>
      <w:r>
        <w:t xml:space="preserve"> </w:t>
      </w:r>
      <w:r>
        <w:t xml:space="preserve">section),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measured potential, and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source</w:t>
      </w:r>
      <w:r>
        <w:t xml:space="preserve"> </w:t>
      </w:r>
      <w:r>
        <w:t xml:space="preserve">current.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./images/PFE.gif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F</m:t>
          </m:r>
          <m:r>
            <m:t>E</m:t>
          </m:r>
          <m:r>
            <m:rPr>
              <m:sty m:val="p"/>
            </m:rPr>
            <m:t>=</m:t>
          </m:r>
          <m:r>
            <m:t>100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ρ</m:t>
                      </m:r>
                    </m:e>
                    <m:sub>
                      <m:r>
                        <m:t>a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ρ</m:t>
                      </m:r>
                    </m:e>
                    <m:sub>
                      <m:r>
                        <m:t>a</m:t>
                      </m:r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ρ</m:t>
                      </m:r>
                    </m:e>
                    <m:sub>
                      <m:r>
                        <m:t>a</m:t>
                      </m:r>
                      <m:r>
                        <m:t>2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Alternatively: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If the voltage version is used, the Frequency Effect (FE) can easily be</w:t>
      </w:r>
      <w:r>
        <w:t xml:space="preserve"> </w:t>
      </w:r>
      <w:r>
        <w:t xml:space="preserve">converted to a percent frequency effect by multiplying by 100.</w:t>
      </w:r>
    </w:p>
    <w:p>
      <w:pPr>
        <w:pStyle w:val="Compact"/>
        <w:numPr>
          <w:ilvl w:val="0"/>
          <w:numId w:val="1004"/>
        </w:numPr>
      </w:pPr>
      <w:r>
        <w:t xml:space="preserve">Data with units of phase are gathered by transmitting a sinusoidal source</w:t>
      </w:r>
      <w:r>
        <w:t xml:space="preserve"> </w:t>
      </w:r>
      <w:r>
        <w:t xml:space="preserve">current. Then the phase difference between this source and measured potentials</w:t>
      </w:r>
      <w:r>
        <w:t xml:space="preserve"> </w:t>
      </w:r>
      <w:r>
        <w:t xml:space="preserve">is recorded as a measure of chargeability. Units are usually milliradians. The</w:t>
      </w:r>
      <w:r>
        <w:t xml:space="preserve"> </w:t>
      </w:r>
      <w:r>
        <w:t xml:space="preserve">following figure illustrates: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bookmarkStart w:id="24" w:name="sinusoids"/>
            <w:r>
              <w:t xml:space="preserve">./images/sinusoids.gif</w:t>
            </w:r>
            <w:bookmarkEnd w:id="24"/>
          </w:p>
        </w:tc>
      </w:tr>
    </w:tbl>
    <w:bookmarkEnd w:id="25"/>
    <w:bookmarkStart w:id="26" w:name="relating-the-four-types-of-data"/>
    <w:p>
      <w:pPr>
        <w:pStyle w:val="Heading1"/>
      </w:pPr>
      <w:r>
        <w:t xml:space="preserve">Relating the four types of data</w:t>
      </w:r>
    </w:p>
    <w:p>
      <w:pPr>
        <w:pStyle w:val="FirstParagraph"/>
      </w:pPr>
      <w:r>
        <w:t xml:space="preserve">The different IP responses all result from the build up of polarizing charges,</w:t>
      </w:r>
      <w:r>
        <w:t xml:space="preserve"> </w:t>
      </w:r>
      <w:r>
        <w:t xml:space="preserve">but they do not produce the same numbers. In fact, the units of the various</w:t>
      </w:r>
      <w:r>
        <w:t xml:space="preserve"> </w:t>
      </w:r>
      <w:r>
        <w:t xml:space="preserve">measurements are different. Nevertheless, the following approximate rule of</w:t>
      </w:r>
      <w:r>
        <w:t xml:space="preserve"> </w:t>
      </w:r>
      <w:r>
        <w:t xml:space="preserve">thumb allows conversion between the different data sets:</w:t>
      </w:r>
    </w:p>
    <w:tbl>
      <w:tblPr>
        <w:tblStyle w:val="Table"/>
        <w:tblW w:type="pct" w:w="2708"/>
        <w:tblLayout w:type="fixed"/>
        <w:tblLook w:firstRow="1" w:lastRow="0" w:firstColumn="0" w:lastColumn="0" w:noHBand="0" w:noVBand="0" w:val="0020"/>
      </w:tblPr>
      <w:tblGrid>
        <w:gridCol w:w="1430"/>
        <w:gridCol w:w="1430"/>
        <w:gridCol w:w="1430"/>
      </w:tblGrid>
      <w:tr>
        <w:trPr>
          <w:tblHeader w:val="on"/>
        </w:trPr>
        <w:tc>
          <w:tcPr>
            <w:gridSpan w:val="3"/>
          </w:tcPr>
          <w:p>
            <w:pPr>
              <w:pStyle w:val="Compact"/>
            </w:pPr>
            <w:r>
              <w:t xml:space="preserve">A chargeability of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0.1</m:t>
              </m:r>
            </m:oMath>
            <w:r>
              <w:t xml:space="preserve"> </w:t>
            </w:r>
            <w:r>
              <w:t xml:space="preserve">is</w:t>
            </w:r>
          </w:p>
        </w:tc>
      </w:tr>
      <w:tr>
        <w:tc>
          <w:tcPr>
            <w:gridSpan w:val="3"/>
          </w:tcPr>
          <w:p>
            <w:pPr>
              <w:pStyle w:val="BlockText"/>
            </w:pPr>
            <w:r>
              <w:t xml:space="preserve">10 PFE</w:t>
            </w:r>
          </w:p>
        </w:tc>
      </w:tr>
      <w:tr>
        <w:tc>
          <w:tcPr>
            <w:gridSpan w:val="3"/>
          </w:tcPr>
          <w:p>
            <w:pPr>
              <w:pStyle w:val="BlockText"/>
            </w:pPr>
            <w:r>
              <w:t xml:space="preserve">70 mrad</w:t>
            </w:r>
          </w:p>
        </w:tc>
      </w:tr>
      <w:tr>
        <w:tc>
          <w:tcPr>
            <w:gridSpan w:val="3"/>
          </w:tcPr>
          <w:p>
            <w:pPr>
              <w:pStyle w:val="BlockText"/>
            </w:pPr>
            <w:r>
              <w:t xml:space="preserve">70 msec</w:t>
            </w:r>
          </w:p>
        </w:tc>
      </w:tr>
    </w:tbl>
    <w:bookmarkEnd w:id="26"/>
    <w:bookmarkStart w:id="27" w:name="data-acquisition-in-time-domain-ip"/>
    <w:p>
      <w:pPr>
        <w:pStyle w:val="Heading1"/>
      </w:pPr>
      <w:r>
        <w:t xml:space="preserve">Data acquisition in Time domain IP</w:t>
      </w:r>
    </w:p>
    <w:p>
      <w:pPr>
        <w:pStyle w:val="FirstParagraph"/>
      </w:pPr>
      <w:r>
        <w:t xml:space="preserve">The source is here an on-off duty cycle. As noted above, when time domain IP is recorded, chargeability is measured as</w:t>
      </w:r>
      <w:r>
        <w:t xml:space="preserve"> </w:t>
      </w:r>
      <w:r>
        <w:t xml:space="preserve">the area under the decay curve normalized by "primary" voltage</w:t>
      </w:r>
      <w:r>
        <w:t xml:space="preserve"> </w:t>
      </w:r>
      <m:oMath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,</w:t>
      </w:r>
      <w:r>
        <w:t xml:space="preserve"> </w:t>
      </w:r>
      <w:r>
        <w:t xml:space="preserve">using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P</m:t>
                  </m:r>
                </m:sub>
              </m:sSub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sup>
            <m:e>
              <m:r>
                <m:t>​</m:t>
              </m:r>
            </m:e>
          </m:nary>
          <m:sSub>
            <m:e>
              <m:r>
                <m:t>V</m:t>
              </m:r>
            </m:e>
            <m:sub>
              <m:r>
                <m:t>S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times may be any limits within the off-time, and</w:t>
      </w:r>
      <w:r>
        <w:t xml:space="preserve"> </w:t>
      </w:r>
      <w:r>
        <w:t xml:space="preserve">there are not really any standards, so comparison of different surveys can be</w:t>
      </w:r>
      <w:r>
        <w:t xml:space="preserve"> </w:t>
      </w:r>
      <w:r>
        <w:t xml:space="preserve">difficult.</w:t>
      </w:r>
    </w:p>
    <w:p>
      <w:pPr>
        <w:pStyle w:val="BodyText"/>
      </w:pPr>
      <w:r>
        <w:t xml:space="preserve">Source (input) current is a square wave with 50% duty cycle (equal on and off</w:t>
      </w:r>
      <w:r>
        <w:t xml:space="preserve"> </w:t>
      </w:r>
      <w:r>
        <w:t xml:space="preserve">times) as per resistivity (repeated cycles of +on, off, -on, off). The use of</w:t>
      </w:r>
      <w:r>
        <w:t xml:space="preserve"> </w:t>
      </w:r>
      <w:r>
        <w:t xml:space="preserve">positive and negative cycles in transmitter current is very important for</w:t>
      </w:r>
      <w:r>
        <w:t xml:space="preserve"> </w:t>
      </w:r>
      <w:r>
        <w:t xml:space="preserve">time-domain IP work. The correct area under the decay curve will be measured</w:t>
      </w:r>
      <w:r>
        <w:t xml:space="preserve"> </w:t>
      </w:r>
      <w:r>
        <w:t xml:space="preserve">only if the potential decays exactly to zero. This will not occur when there</w:t>
      </w:r>
      <w:r>
        <w:t xml:space="preserve"> </w:t>
      </w:r>
      <w:r>
        <w:t xml:space="preserve">is a superimposed spontaneous potential (SP), which is usually the case. If</w:t>
      </w:r>
      <w:r>
        <w:t xml:space="preserve"> </w:t>
      </w:r>
      <w:r>
        <w:t xml:space="preserve">only one polarity was used, the inevitable SP could not be detected and</w:t>
      </w:r>
      <w:r>
        <w:t xml:space="preserve"> </w:t>
      </w:r>
      <w:r>
        <w:t xml:space="preserve">removed. Recording both positive and negative cycles allows the "off-time"</w:t>
      </w:r>
      <w:r>
        <w:t xml:space="preserve"> </w:t>
      </w:r>
      <w:r>
        <w:t xml:space="preserve">potential (i.e. voltages recorded when the transmitter is off) to be</w:t>
      </w:r>
      <w:r>
        <w:t xml:space="preserve"> </w:t>
      </w:r>
      <w:r>
        <w:t xml:space="preserve">estimated, and any non-zero component removed.</w:t>
      </w:r>
    </w:p>
    <w:p>
      <w:pPr>
        <w:pStyle w:val="BodyText"/>
      </w:pPr>
      <w:r>
        <w:t xml:space="preserve">Many instruments record measured voltage,</w:t>
      </w:r>
      <w:r>
        <w:t xml:space="preserve"> </w:t>
      </w:r>
      <m:oMath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, just before the</w:t>
      </w:r>
      <w:r>
        <w:t xml:space="preserve"> </w:t>
      </w:r>
      <w:r>
        <w:t xml:space="preserve">transmitter is turned off, and then again 10 times while voltages decay during</w:t>
      </w:r>
      <w:r>
        <w:t xml:space="preserve"> </w:t>
      </w:r>
      <w:r>
        <w:t xml:space="preserve">the off times. The results can then provide a calculated chargeability and an</w:t>
      </w:r>
      <w:r>
        <w:t xml:space="preserve"> </w:t>
      </w:r>
      <w:r>
        <w:t xml:space="preserve">estimated spontaneous potential. The adjacent figure illustrates each measured</w:t>
      </w:r>
      <w:r>
        <w:t xml:space="preserve"> </w:t>
      </w:r>
      <w:r>
        <w:t xml:space="preserve">parameter. Note that if the transmitter is not on for a long enough time,</w:t>
      </w:r>
      <w:r>
        <w:t xml:space="preserve"> </w:t>
      </w:r>
      <m:oMath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will be measured before the charging time is finished, resulting in</w:t>
      </w:r>
      <w:r>
        <w:t xml:space="preserve"> </w:t>
      </w:r>
      <w:r>
        <w:t xml:space="preserve">a voltage that is smaller than the actual</w:t>
      </w:r>
      <w:r>
        <w:t xml:space="preserve"> </w:t>
      </w:r>
      <m:oMath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./images/transmitter_on_off.gif</w:t>
            </w:r>
          </w:p>
        </w:tc>
      </w:tr>
    </w:tbl>
    <w:p>
      <w:pPr>
        <w:pStyle w:val="BodyText"/>
      </w:pPr>
      <w:r>
        <w:t xml:space="preserve">Other instruments use alternative time windows, and some newer instruments</w:t>
      </w:r>
      <w:r>
        <w:t xml:space="preserve"> </w:t>
      </w:r>
      <w:r>
        <w:t xml:space="preserve">digitize the whole waveform, but the fundamental concepts are the same for all</w:t>
      </w:r>
      <w:r>
        <w:t xml:space="preserve"> </w:t>
      </w:r>
      <w:r>
        <w:t xml:space="preserve">time domain systems.</w:t>
      </w:r>
    </w:p>
    <w:bookmarkEnd w:id="27"/>
    <w:bookmarkStart w:id="30" w:name="data-acquisition-in-frequency-domain-ip"/>
    <w:p>
      <w:pPr>
        <w:pStyle w:val="Heading1"/>
      </w:pPr>
      <w:r>
        <w:t xml:space="preserve">Data acquisition in Frequency domain IP</w:t>
      </w:r>
    </w:p>
    <w:p>
      <w:pPr>
        <w:pStyle w:val="FirstParagraph"/>
      </w:pPr>
      <w:r>
        <w:t xml:space="preserve">The source is here a sinusoid.</w:t>
      </w:r>
    </w:p>
    <w:bookmarkStart w:id="28" w:name="frequency-effect"/>
    <w:p>
      <w:pPr>
        <w:pStyle w:val="Heading2"/>
      </w:pPr>
      <w:r>
        <w:t xml:space="preserve">Frequency effect</w:t>
      </w:r>
    </w:p>
    <w:p>
      <w:pPr>
        <w:pStyle w:val="FirstParagraph"/>
      </w:pPr>
      <w:r>
        <w:t xml:space="preserve">The percent frequency effect was defined above as either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F</m:t>
          </m:r>
          <m:r>
            <m:t>E</m:t>
          </m:r>
          <m:r>
            <m:rPr>
              <m:sty m:val="p"/>
            </m:rPr>
            <m:t>=</m:t>
          </m:r>
          <m:r>
            <m:t>100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ρ</m:t>
                      </m:r>
                    </m:e>
                    <m:sub>
                      <m:r>
                        <m:t>a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ρ</m:t>
                      </m:r>
                    </m:e>
                    <m:sub>
                      <m:r>
                        <m:t>a</m:t>
                      </m:r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ρ</m:t>
                      </m:r>
                    </m:e>
                    <m:sub>
                      <m:r>
                        <m:t>a</m:t>
                      </m:r>
                      <m:r>
                        <m:t>2</m:t>
                      </m:r>
                    </m:sub>
                  </m:sSub>
                </m:den>
              </m:f>
            </m:e>
          </m:d>
          <m:r>
            <m:t> </m:t>
          </m:r>
          <m:r>
            <m:rPr>
              <m:nor/>
              <m:sty m:val="p"/>
            </m:rPr>
            <m:t>or</m:t>
          </m:r>
          <m:r>
            <m:t> </m:t>
          </m:r>
          <m:r>
            <m:t>F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DC or very low frequency, and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a higher</w:t>
      </w:r>
      <w:r>
        <w:t xml:space="preserve"> </w:t>
      </w:r>
      <w:r>
        <w:t xml:space="preserve">frequency (a few tens to hundreds of Hertz) the second type of resistivities</w:t>
      </w:r>
      <w:r>
        <w:t xml:space="preserve"> </w:t>
      </w:r>
      <w:r>
        <w:t xml:space="preserve">can be measured at frequencies on the order of a few tens to hundreds of</w:t>
      </w:r>
      <w:r>
        <w:t xml:space="preserve"> </w:t>
      </w:r>
      <w:r>
        <w:t xml:space="preserve">Hertz.</w:t>
      </w:r>
    </w:p>
    <w:bookmarkEnd w:id="28"/>
    <w:bookmarkStart w:id="29" w:name="apparent-chargeability-measurements"/>
    <w:p>
      <w:pPr>
        <w:pStyle w:val="Heading2"/>
      </w:pPr>
      <w:r>
        <w:t xml:space="preserve">Apparent Chargeability Measurements</w:t>
      </w:r>
    </w:p>
    <w:p>
      <w:pPr>
        <w:pStyle w:val="FirstParagraph"/>
      </w:pPr>
      <w:r>
        <w:t xml:space="preserve">When the phase of voltage (</w:t>
      </w:r>
      <m:oMath>
        <m:r>
          <m:t>Δ</m:t>
        </m:r>
        <m:r>
          <m:t>V</m:t>
        </m:r>
      </m:oMath>
      <w:r>
        <w:t xml:space="preserve">) with respect to input current ( I ) is measured directly,</w:t>
      </w:r>
      <w:r>
        <w:t xml:space="preserve"> </w:t>
      </w:r>
      <w:r>
        <w:t xml:space="preserve">the impedance Z of the ground at different frequencies (</w:t>
      </w:r>
      <m:oMath>
        <m:r>
          <m:t>ω</m:t>
        </m:r>
      </m:oMath>
      <w:r>
        <w:t xml:space="preserve">) can be determined based on the material. This</w:t>
      </w:r>
      <w:r>
        <w:t xml:space="preserve"> </w:t>
      </w:r>
      <w:r>
        <w:t xml:space="preserve">requires careful synchronization between the receiver and the transmitter.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ω</m:t>
                  </m:r>
                </m:e>
              </m:d>
            </m:num>
            <m:den>
              <m:r>
                <m:t>I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ω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In chargeable rocks, the measured voltage depends on the frequency of the alternating current.</w:t>
      </w:r>
      <w:r>
        <w:t xml:space="preserve"> </w:t>
      </w:r>
      <w:r>
        <w:t xml:space="preserve">So in order to characterize the resistive properties of the rock, we need to determine the impedence over a spectrum of frequencies.</w:t>
      </w:r>
    </w:p>
    <w:p>
      <w:pPr>
        <w:pStyle w:val="BodyText"/>
      </w:pPr>
      <w:r>
        <w:t xml:space="preserve">The apparent resistivity of the ground at each frequency can be obtained from the impedance and the geometric factor (see</w:t>
      </w:r>
      <w:r>
        <w:t xml:space="preserve"> </w:t>
      </w:r>
      <w:r>
        <w:rPr>
          <w:rStyle w:val="VerbatimChar"/>
        </w:rPr>
        <w:t xml:space="preserve">dc_surveys</w:t>
      </w:r>
      <w:r>
        <w:t xml:space="preserve">)</w:t>
      </w:r>
    </w:p>
    <w:p>
      <w:pPr>
        <w:pStyle w:val="BodyText"/>
      </w:pPr>
      <w:r>
        <w:t xml:space="preserve">In order to characterize the ground's chargeable properties, we fit the experimentally acquired resistivity values to a mathematical model (illstrated below).</w:t>
      </w:r>
      <w:r>
        <w:t xml:space="preserve"> </w:t>
      </w:r>
      <w:r>
        <w:t xml:space="preserve">A well-established model for explaining the resistivities of chargeable rocks is the Cole-Cole model: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sSub>
            <m:e>
              <m:r>
                <m:t>ρ</m:t>
              </m:r>
            </m:e>
            <m:sub>
              <m:r>
                <m:t>0</m:t>
              </m:r>
            </m:sub>
          </m:sSub>
          <m:d>
            <m:dPr>
              <m:begChr m:val="["/>
              <m:sepChr m:val=""/>
              <m:endChr m:val="]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η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t>ω</m:t>
                              </m:r>
                              <m:r>
                                <m:t>τ</m:t>
                              </m:r>
                            </m:e>
                          </m:d>
                        </m:e>
                        <m:sup>
                          <m:r>
                            <m:t>C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ρ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DC resistivity and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the intrinsic chargeability.</w:t>
      </w:r>
      <w:r>
        <w:t xml:space="preserve"> </w:t>
      </w:r>
      <w:r>
        <w:t xml:space="preserve">Parameters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define the rate at which ionic charges accumulate when an electric field is applied.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images/electrode_chargeability_curve_fit.png</w:t>
            </w:r>
          </w:p>
        </w:tc>
      </w:tr>
    </w:tbl>
    <w:p>
      <w:pPr>
        <w:pStyle w:val="BodyText"/>
      </w:pPr>
      <w:r>
        <w:t xml:space="preserve">Assuming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defines the exponential decay in voltage during the off-time measurements (see earlier).</w:t>
      </w:r>
      <w:r>
        <w:t xml:space="preserve"> </w:t>
      </w:r>
      <w:r>
        <w:t xml:space="preserve">The conductivity of the rock can be obtained by taking the reciprocal of the complex resistivity: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ρ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ω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Additionally, Ohm's law still applies for chargeable rocks.</w:t>
      </w:r>
      <w:r>
        <w:t xml:space="preserve"> </w:t>
      </w:r>
      <w:r>
        <w:t xml:space="preserve">Thus: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J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acc>
            <m:accPr>
              <m:chr m:val="⃗"/>
            </m:accPr>
            <m:e>
              <m:r>
                <m:t>E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</m:oMath>
      </m:oMathPara>
    </w:p>
    <w:bookmarkEnd w:id="29"/>
    <w:bookmarkEnd w:id="30"/>
    <w:bookmarkStart w:id="31" w:name="X73a3bee3c4919587f20aacc40738c809b6e7042"/>
    <w:p>
      <w:pPr>
        <w:pStyle w:val="Heading1"/>
      </w:pPr>
      <w:r>
        <w:t xml:space="preserve">Choice of time, frequency or phase measurements</w:t>
      </w:r>
    </w:p>
    <w:p>
      <w:pPr>
        <w:pStyle w:val="FirstParagraph"/>
      </w:pPr>
      <w:r>
        <w:t xml:space="preserve">The following lists a few factors affecting whether to choose time domain or</w:t>
      </w:r>
      <w:r>
        <w:t xml:space="preserve"> </w:t>
      </w:r>
      <w:r>
        <w:t xml:space="preserve">frequency domain survey types:</w:t>
      </w:r>
    </w:p>
    <w:p>
      <w:pPr>
        <w:pStyle w:val="Compact"/>
        <w:numPr>
          <w:ilvl w:val="0"/>
          <w:numId w:val="1005"/>
        </w:numPr>
      </w:pPr>
      <w:r>
        <w:t xml:space="preserve">Time domain methods are the most common since the IP signal is measured</w:t>
      </w:r>
      <w:r>
        <w:t xml:space="preserve"> </w:t>
      </w:r>
      <w:r>
        <w:t xml:space="preserve">directly. The decay signals are small, such as millivolts or microvolts, so</w:t>
      </w:r>
      <w:r>
        <w:t xml:space="preserve"> </w:t>
      </w:r>
      <w:r>
        <w:t xml:space="preserve">the signal-to-noise ratio can be a problem. Stacking many repeat</w:t>
      </w:r>
      <w:r>
        <w:t xml:space="preserve"> </w:t>
      </w:r>
      <w:r>
        <w:t xml:space="preserve">measurements is required.</w:t>
      </w:r>
    </w:p>
    <w:p>
      <w:pPr>
        <w:pStyle w:val="Compact"/>
        <w:numPr>
          <w:ilvl w:val="0"/>
          <w:numId w:val="1005"/>
        </w:numPr>
      </w:pPr>
      <w:r>
        <w:t xml:space="preserve">Frequency domain methods require significantly smaller source currents and</w:t>
      </w:r>
      <w:r>
        <w:t xml:space="preserve"> </w:t>
      </w:r>
      <w:r>
        <w:t xml:space="preserve">are less sensitive to some sources of noise. However the effects of EM</w:t>
      </w:r>
      <w:r>
        <w:t xml:space="preserve"> </w:t>
      </w:r>
      <w:r>
        <w:t xml:space="preserve">coupling can be severe, and need to be removed. ("EM coupling" is an</w:t>
      </w:r>
      <w:r>
        <w:t xml:space="preserve"> </w:t>
      </w:r>
      <w:r>
        <w:t xml:space="preserve">unwanted signal which arises from inductive interactions (like a</w:t>
      </w:r>
      <w:r>
        <w:t xml:space="preserve"> </w:t>
      </w:r>
      <w:r>
        <w:t xml:space="preserve">transformer) between conductive near-surface ground and the wires carrying</w:t>
      </w:r>
      <w:r>
        <w:t xml:space="preserve"> </w:t>
      </w:r>
      <w:r>
        <w:t xml:space="preserve">transmitter current. It can completely hide IP effects when it is severe).</w:t>
      </w:r>
    </w:p>
    <w:p>
      <w:pPr>
        <w:pStyle w:val="Compact"/>
        <w:numPr>
          <w:ilvl w:val="0"/>
          <w:numId w:val="1005"/>
        </w:numPr>
      </w:pPr>
      <w:r>
        <w:t xml:space="preserve">See Smith, 1980, for a comparison of time domain and frequency domain</w:t>
      </w:r>
      <w:r>
        <w:t xml:space="preserve"> </w:t>
      </w:r>
      <w:r>
        <w:t xml:space="preserve">results recorded using three different instruments over the same ore body.</w:t>
      </w:r>
      <w:r>
        <w:t xml:space="preserve"> </w:t>
      </w:r>
      <w:r>
        <w:t xml:space="preserve">Such studies are rare because of the cost, so this is an interesting</w:t>
      </w:r>
      <w:r>
        <w:t xml:space="preserve"> </w:t>
      </w:r>
      <w:r>
        <w:t xml:space="preserve">examination of the pros and cons of various ways of measuring IP.</w:t>
      </w:r>
    </w:p>
    <w:bookmarkEnd w:id="31"/>
    <w:bookmarkStart w:id="32" w:name="examples-of-inverted-field-data"/>
    <w:p>
      <w:pPr>
        <w:pStyle w:val="Heading1"/>
      </w:pPr>
      <w:r>
        <w:t xml:space="preserve">Examples of inverted field data</w:t>
      </w:r>
    </w:p>
    <w:p>
      <w:pPr>
        <w:pStyle w:val="FirstParagraph"/>
      </w:pPr>
      <w:r>
        <w:t xml:space="preserve">The data sets shown (below) were gathered simultaneously at the Century</w:t>
      </w:r>
      <w:r>
        <w:t xml:space="preserve"> </w:t>
      </w:r>
      <w:r>
        <w:t xml:space="preserve">Deposit in Australia. Clearly they are exhibiting responses to different</w:t>
      </w:r>
      <w:r>
        <w:t xml:space="preserve"> </w:t>
      </w:r>
      <w:r>
        <w:t xml:space="preserve">materials within the ground. However, this presentation of the raw data (plots</w:t>
      </w:r>
      <w:r>
        <w:t xml:space="preserve"> </w:t>
      </w:r>
      <w:r>
        <w:t xml:space="preserve">called pseudosections) is deceptive, and does not represent true distribution</w:t>
      </w:r>
      <w:r>
        <w:t xml:space="preserve"> </w:t>
      </w:r>
      <w:r>
        <w:t xml:space="preserve">of material properties in the ground. After inverting these data, the</w:t>
      </w:r>
      <w:r>
        <w:t xml:space="preserve"> </w:t>
      </w:r>
      <w:r>
        <w:t xml:space="preserve">resulting resistivity model reveals information about rocks overlying the</w:t>
      </w:r>
      <w:r>
        <w:t xml:space="preserve"> </w:t>
      </w:r>
      <w:r>
        <w:t xml:space="preserve">deposit, while the resulting chargeability model shows the deposit itself and</w:t>
      </w:r>
      <w:r>
        <w:t xml:space="preserve"> </w:t>
      </w:r>
      <w:r>
        <w:t xml:space="preserve">underlying shale units.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./images/raw_data.gif</w:t>
            </w:r>
          </w:p>
        </w:tc>
      </w:tr>
    </w:tbl>
    <w:p>
      <w:pPr>
        <w:pStyle w:val="ImageCaption"/>
      </w:pPr>
      <w:r>
        <w:t xml:space="preserve">Raw data (pseudosections)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./images/inverted_results.gif</w:t>
            </w:r>
          </w:p>
        </w:tc>
      </w:tr>
    </w:tbl>
    <w:p>
      <w:pPr>
        <w:pStyle w:val="ImageCaption"/>
      </w:pPr>
      <w:r>
        <w:t xml:space="preserve">Inversion results (resistivity top, chargeability bottom)</w:t>
      </w:r>
    </w:p>
    <w:bookmarkEnd w:id="32"/>
    <w:bookmarkStart w:id="33" w:name="X6660eb574a593dfef7424cfa2ee1455aa2d2954"/>
    <w:p>
      <w:pPr>
        <w:pStyle w:val="Heading1"/>
      </w:pPr>
      <w:r>
        <w:t xml:space="preserve">Measuring conductivity and chargeability on a core sample with a GDD SCIP Tester</w:t>
      </w:r>
    </w:p>
    <w:p>
      <w:pPr>
        <w:pStyle w:val="FirstParagraph"/>
      </w:pPr>
      <w:r>
        <w:t xml:space="preserve">The Sample Core Induced Polarization (SCIP) Tester from GDD Inc. is a</w:t>
      </w:r>
      <w:r>
        <w:t xml:space="preserve"> </w:t>
      </w:r>
      <w:r>
        <w:t xml:space="preserve">portative instruements that allows to estimate the resistivity and the IP</w:t>
      </w:r>
      <w:r>
        <w:t xml:space="preserve"> </w:t>
      </w:r>
      <w:r>
        <w:t xml:space="preserve">response of core samples.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./images/conductivity_chargeability_measurement.jpg</w:t>
            </w:r>
          </w:p>
        </w:tc>
      </w:tr>
    </w:tbl>
    <w:bookmarkEnd w:id="33"/>
    <w:bookmarkStart w:id="34" w:name="references"/>
    <w:p>
      <w:pPr>
        <w:pStyle w:val="Heading1"/>
      </w:pPr>
      <w:r>
        <w:t xml:space="preserve">References</w:t>
      </w:r>
    </w:p>
    <w:p>
      <w:pPr>
        <w:pStyle w:val="BlockText"/>
      </w:pPr>
      <w:r>
        <w:t xml:space="preserve">Smith, M.J., 1980,</w:t>
      </w:r>
      <w:r>
        <w:t xml:space="preserve"> </w:t>
      </w:r>
      <w:r>
        <w:rPr>
          <w:i/>
          <w:iCs/>
        </w:rPr>
        <w:t xml:space="preserve">Comparison of induced polarization measurements over the Elura orebody, The Geophysics of the Elura Orebody, Cobar NSW</w:t>
      </w:r>
      <w:r>
        <w:t xml:space="preserve">, ASEG, 1980, 77-80.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/>
  <cp:keywords/>
  <dcterms:created xsi:type="dcterms:W3CDTF">2025-01-16T09:29:03Z</dcterms:created>
  <dcterms:modified xsi:type="dcterms:W3CDTF">2025-01-16T09:29:03Z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