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Interpretation</w:t>
      </w:r>
    </w:p>
    <w:bookmarkStart w:id="21" w:name="forward-modeling"/>
    <w:p>
      <w:pPr>
        <w:pStyle w:val="Heading1"/>
      </w:pPr>
      <w:r>
        <w:t xml:space="preserve">Forward Modeling</w:t>
      </w:r>
    </w:p>
    <w:bookmarkStart w:id="20" w:name="essential-equations"/>
    <w:p>
      <w:pPr>
        <w:pStyle w:val="Heading2"/>
      </w:pPr>
      <w:r>
        <w:t xml:space="preserve">Essential equations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./images/potentials.gif</w:t>
            </w:r>
          </w:p>
        </w:tc>
      </w:tr>
    </w:tbl>
    <w:p>
      <w:pPr>
        <w:pStyle w:val="BodyText"/>
      </w:pPr>
      <w:r>
        <w:t xml:space="preserve">We start by considering a theoretical form of time-domain IP data. Recall that</w:t>
      </w:r>
      <w:r>
        <w:t xml:space="preserve"> </w:t>
      </w:r>
      <w:r>
        <w:t xml:space="preserve">if a square current signal is injected into the ground, the potential recorded</w:t>
      </w:r>
      <w:r>
        <w:t xml:space="preserve"> </w:t>
      </w:r>
      <w:r>
        <w:t xml:space="preserve">over chargeable ground will exhibit a delayed response caused by the charging</w:t>
      </w:r>
      <w:r>
        <w:t xml:space="preserve"> </w:t>
      </w:r>
      <w:r>
        <w:t xml:space="preserve">and discharging of the ground. There are three potentials that can be defined</w:t>
      </w:r>
      <w:r>
        <w:t xml:space="preserve"> </w:t>
      </w:r>
      <w:r>
        <w:t xml:space="preserve">on this measured voltage waveform, as shown on the adjacent figure. The</w:t>
      </w:r>
      <w:r>
        <w:t xml:space="preserve"> </w:t>
      </w:r>
      <w:r>
        <w:t xml:space="preserve">theoretical IP datum is defined as the ratio of the secondary voltage measured</w:t>
      </w:r>
      <w:r>
        <w:t xml:space="preserve"> </w:t>
      </w:r>
      <w:r>
        <w:t xml:space="preserve">immediately upon shutting off the current source to the primary voltage</w:t>
      </w:r>
      <w:r>
        <w:t xml:space="preserve"> </w:t>
      </w:r>
      <w:r>
        <w:t xml:space="preserve">measured after the signal has stabilized while the current is still on.</w:t>
      </w:r>
    </w:p>
    <w:p>
      <w:pPr>
        <w:pStyle w:val="BlockTex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V</m:t>
                  </m:r>
                </m:e>
                <m:sub>
                  <m:r>
                    <m:t>s</m:t>
                  </m:r>
                </m:sub>
              </m:sSub>
            </m:num>
            <m:den>
              <m:sSub>
                <m:e>
                  <m:r>
                    <m:t>V</m:t>
                  </m:r>
                </m:e>
                <m:sub>
                  <m:r>
                    <m:t>P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V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V</m:t>
                  </m:r>
                </m:e>
                <m:sub>
                  <m:r>
                    <m:t>σ</m:t>
                  </m:r>
                </m:sub>
              </m:sSub>
            </m:num>
            <m:den>
              <m:sSub>
                <m:e>
                  <m:r>
                    <m:t>V</m:t>
                  </m:r>
                </m:e>
                <m:sub>
                  <m:r>
                    <m:t>P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D</m:t>
                  </m:r>
                  <m:r>
                    <m:t>C</m:t>
                  </m:r>
                </m:sub>
              </m:sSub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t>σ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m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D</m:t>
                  </m:r>
                  <m:r>
                    <m:t>C</m:t>
                  </m:r>
                </m:sub>
              </m:sSub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t>σ</m:t>
                  </m:r>
                </m:e>
              </m:d>
            </m:num>
            <m:den>
              <m:sSub>
                <m:e>
                  <m:r>
                    <m:t>F</m:t>
                  </m:r>
                </m:e>
                <m:sub>
                  <m:r>
                    <m:t>D</m:t>
                  </m:r>
                  <m:r>
                    <m:t>C</m:t>
                  </m:r>
                </m:sub>
              </m:sSub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t>σ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m</m:t>
                      </m:r>
                    </m:e>
                  </m:d>
                </m:e>
              </m:d>
            </m:den>
          </m:f>
        </m:oMath>
      </m:oMathPara>
    </w:p>
    <w:p>
      <w:pPr>
        <w:pStyle w:val="FirstParagraph"/>
      </w:pPr>
      <w:r>
        <w:t xml:space="preserve">The right hand side of this equation is showing that each potential can be</w:t>
      </w:r>
      <w:r>
        <w:t xml:space="preserve"> </w:t>
      </w:r>
      <w:r>
        <w:t xml:space="preserve">found using a DC resistivity forward modeling calculation using the</w:t>
      </w:r>
      <w:r>
        <w:t xml:space="preserve"> </w:t>
      </w:r>
      <w:r>
        <w:t xml:space="preserve">conductivity of the region involved, and that conductivity is modified by</w:t>
      </w:r>
      <w:r>
        <w:t xml:space="preserve"> </w:t>
      </w:r>
      <w:r>
        <w:t xml:space="preserve">chargeability,</w:t>
      </w:r>
      <w:r>
        <w:t xml:space="preserve"> </w:t>
      </w:r>
      <m:oMath>
        <m:r>
          <m:t>m</m:t>
        </m:r>
      </m:oMath>
      <w:r>
        <w:t xml:space="preserve">. This is based upon the original definition of</w:t>
      </w:r>
      <w:r>
        <w:t xml:space="preserve"> </w:t>
      </w:r>
      <w:r>
        <w:t xml:space="preserve">chargeablity suggested by Seigel, 1959.</w:t>
      </w:r>
    </w:p>
    <w:p>
      <w:pPr>
        <w:pStyle w:val="BodyText"/>
      </w:pPr>
      <w:r>
        <w:t xml:space="preserve">This equation turns out to be non-linear. It can, however, be approximated as</w:t>
      </w:r>
      <w:r>
        <w:t xml:space="preserve"> </w:t>
      </w:r>
      <w:r>
        <w:t xml:space="preserve">linear for small values of</w:t>
      </w:r>
      <w:r>
        <w:t xml:space="preserve"> </w:t>
      </w:r>
      <m:oMath>
        <m:r>
          <m:t>m</m:t>
        </m:r>
      </m:oMath>
      <w:r>
        <w:t xml:space="preserve">, which is usually true since in practice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r>
          <m:t>0.2</m:t>
        </m:r>
      </m:oMath>
      <w:r>
        <w:t xml:space="preserve">. Therefore, forward modeling of chargeability data can be done</w:t>
      </w:r>
      <w:r>
        <w:t xml:space="preserve"> </w:t>
      </w:r>
      <w:r>
        <w:t xml:space="preserve">using the following formulation: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J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  <m:r>
            <m:t> </m:t>
          </m:r>
          <m:r>
            <m:rPr>
              <m:nor/>
              <m:sty m:val="p"/>
            </m:rPr>
            <m:t>;</m:t>
          </m:r>
          <m:r>
            <m:t> </m:t>
          </m:r>
          <m:sSub>
            <m:e>
              <m:r>
                <m:t>J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σ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t xml:space="preserve">The matrix form for this equation is</w:t>
      </w:r>
      <w:r>
        <w:t xml:space="preserve"> </w:t>
      </w:r>
      <m:oMath>
        <m:r>
          <m:t>J</m:t>
        </m:r>
        <m:r>
          <m:t>m</m:t>
        </m:r>
        <m:r>
          <m:rPr>
            <m:sty m:val="p"/>
          </m:rPr>
          <m:t>=</m:t>
        </m:r>
        <m:r>
          <m:t>d</m:t>
        </m:r>
      </m:oMath>
      <w:r>
        <w:t xml:space="preserve">, where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is an N x</w:t>
      </w:r>
      <w:r>
        <w:t xml:space="preserve"> </w:t>
      </w:r>
      <w:r>
        <w:t xml:space="preserve">M sensitivity matrix (N is the number of data points and M is the number of</w:t>
      </w:r>
      <w:r>
        <w:t xml:space="preserve"> </w:t>
      </w:r>
      <w:r>
        <w:t xml:space="preserve">cells in a rectangular discretization grid), and the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w:r>
        <w:t xml:space="preserve">sensitivities for the DC resistivity problem. So in order to model (and invert) IP</w:t>
      </w:r>
      <w:r>
        <w:t xml:space="preserve"> </w:t>
      </w:r>
      <w:r>
        <w:t xml:space="preserve">data for interpretation, we need to solve the DC problem first.</w:t>
      </w:r>
    </w:p>
    <w:p>
      <w:pPr>
        <w:pStyle w:val="BodyText"/>
      </w:pPr>
      <w:r>
        <w:t xml:space="preserve">Finally, if "small" chargeabilities are assumed, the linear relationship means</w:t>
      </w:r>
      <w:r>
        <w:t xml:space="preserve"> </w:t>
      </w:r>
      <w:r>
        <w:t xml:space="preserve">measured data and chargeabilities recovered by inversion have the same units.</w:t>
      </w:r>
      <w:r>
        <w:t xml:space="preserve"> </w:t>
      </w:r>
      <w:r>
        <w:t xml:space="preserve">Therefore, all four types of IP data can be approximated by</w:t>
      </w:r>
      <w:r>
        <w:t xml:space="preserve"> </w:t>
      </w:r>
      <m:oMath>
        <m:r>
          <m:t>J</m:t>
        </m:r>
        <m:r>
          <m:t>m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  <w:r>
        <w:t xml:space="preserve"> </w:t>
      </w:r>
      <w:r>
        <w:t xml:space="preserve">This means that the common types of IP data (time domain, phase, or PFE) can</w:t>
      </w:r>
      <w:r>
        <w:t xml:space="preserve"> </w:t>
      </w:r>
      <w:r>
        <w:t xml:space="preserve">be employed as input to inversion routines without change.</w:t>
      </w:r>
    </w:p>
    <w:p>
      <w:pPr>
        <w:pStyle w:val="BodyText"/>
      </w:pPr>
      <w:r>
        <w:t xml:space="preserve">These points are made in Oldenburg and Li, 1994.</w:t>
      </w:r>
    </w:p>
    <w:bookmarkEnd w:id="20"/>
    <w:bookmarkEnd w:id="21"/>
    <w:bookmarkStart w:id="23" w:name="inversion-of-ip-data"/>
    <w:p>
      <w:pPr>
        <w:pStyle w:val="Heading1"/>
      </w:pPr>
      <w:r>
        <w:t xml:space="preserve">Inversion of IP data</w:t>
      </w:r>
    </w:p>
    <w:p>
      <w:pPr>
        <w:pStyle w:val="FirstParagraph"/>
      </w:pPr>
      <w:r>
        <w:t xml:space="preserve">Inversion of IP data is related to the inversion of DC data (see</w:t>
      </w:r>
      <w:r>
        <w:t xml:space="preserve"> </w:t>
      </w:r>
      <w:r>
        <w:rPr>
          <w:rStyle w:val="VerbatimChar"/>
        </w:rPr>
        <w:t xml:space="preserve">DC_interpretation</w:t>
      </w:r>
      <w:r>
        <w:t xml:space="preserve">). Concepts such</w:t>
      </w:r>
      <w:r>
        <w:t xml:space="preserve"> </w:t>
      </w:r>
      <w:r>
        <w:t xml:space="preserve">as Depth of Investigation still hold in the IP case.</w:t>
      </w:r>
    </w:p>
    <w:p>
      <w:pPr>
        <w:pStyle w:val="BodyText"/>
      </w:pPr>
      <w:r>
        <w:t xml:space="preserve">Inversion of IP data requires a conductivity model obtained by inverted the DC data, as the sensitivity of an IP</w:t>
      </w:r>
      <w:r>
        <w:t xml:space="preserve"> </w:t>
      </w:r>
      <w:r>
        <w:t xml:space="preserve">survey depends on the electrical conductivity distribution.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bookmarkStart w:id="22" w:name="ip_inversion"/>
            <w:r>
              <w:t xml:space="preserve">./images/IP_inversion.jpg</w:t>
            </w:r>
            <w:bookmarkEnd w:id="22"/>
          </w:p>
        </w:tc>
      </w:tr>
    </w:tbl>
    <w:bookmarkEnd w:id="23"/>
    <w:bookmarkStart w:id="24" w:name="references"/>
    <w:p>
      <w:pPr>
        <w:pStyle w:val="Heading1"/>
      </w:pPr>
      <w:r>
        <w:t xml:space="preserve">References</w:t>
      </w:r>
    </w:p>
    <w:p>
      <w:pPr>
        <w:pStyle w:val="Compact"/>
        <w:numPr>
          <w:ilvl w:val="0"/>
          <w:numId w:val="1001"/>
        </w:numPr>
      </w:pPr>
      <w:r>
        <w:t xml:space="preserve">Siegel. H.O., 1959, "*Mathematical formulation and type curves for induced polarization*", Geophysics, 38, 49-60.</w:t>
      </w:r>
    </w:p>
    <w:p>
      <w:pPr>
        <w:pStyle w:val="Compact"/>
        <w:numPr>
          <w:ilvl w:val="0"/>
          <w:numId w:val="1001"/>
        </w:numPr>
      </w:pPr>
      <w:r>
        <w:t xml:space="preserve">Oldenburg, D.W. and Y. Li, 1994, "*Inversion of induced polarization data*", Geophysics, 59, 1327-1341.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Interpretation</dc:title>
  <dc:creator/>
  <cp:keywords/>
  <dcterms:created xsi:type="dcterms:W3CDTF">2025-01-16T09:29:03Z</dcterms:created>
  <dcterms:modified xsi:type="dcterms:W3CDTF">2025-01-16T09:29:03Z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