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Survey</w:t>
      </w:r>
    </w:p>
    <w:p>
      <w:pPr>
        <w:pStyle w:val="FirstParagraph"/>
      </w:pPr>
      <w:r>
        <w:t xml:space="preserve">Ip survey are using the same setup as DC resistivity survey. Both surveys are acquired togther. Only the measurements change as induced polarization survey use off-time measurements whereas DC resistivity survey use on-time measurements.</w:t>
      </w:r>
    </w:p>
    <w:p>
      <w:pPr>
        <w:pStyle w:val="BodyText"/>
      </w:pPr>
      <w:r>
        <w:t xml:space="preserve">See the section</w:t>
      </w:r>
      <w:r>
        <w:t xml:space="preserve"> </w:t>
      </w:r>
      <w:r>
        <w:rPr>
          <w:rStyle w:val="VerbatimChar"/>
        </w:rPr>
        <w:t xml:space="preserve">dc_surveys</w:t>
      </w:r>
      <w:r>
        <w:t xml:space="preserve"> </w:t>
      </w:r>
      <w:r>
        <w:t xml:space="preserve">for more information.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/>
  <cp:keywords/>
  <dcterms:created xsi:type="dcterms:W3CDTF">2025-01-16T09:29:04Z</dcterms:created>
  <dcterms:modified xsi:type="dcterms:W3CDTF">2025-01-16T09:29:04Z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