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gif" ContentType="image/gi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Magnetics</w:t>
      </w:r>
    </w:p>
    <w:p>
      <w:pPr>
        <w:pStyle w:val="Figure"/>
      </w:pPr>
      <w:r>
        <w:drawing>
          <wp:inline>
            <wp:extent cx="1524000" cy="1701800"/>
            <wp:effectExtent b="0" l="0" r="0" t="0"/>
            <wp:docPr descr="./images/icon_mag.gif" title="" id="21" name="Picture"/>
            <a:graphic>
              <a:graphicData uri="http://schemas.openxmlformats.org/drawingml/2006/picture">
                <pic:pic>
                  <pic:nvPicPr>
                    <pic:cNvPr descr="./images/icon_mag.gif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Measurements of the magnetic field contain information about subsurface</w:t>
      </w:r>
      <w:r>
        <w:t xml:space="preserve"> </w:t>
      </w:r>
      <w:r>
        <w:t xml:space="preserve">variations in</w:t>
      </w:r>
      <w:r>
        <w:t xml:space="preserve"> </w:t>
      </w:r>
      <w:r>
        <w:rPr>
          <w:b/>
          <w:bCs/>
        </w:rPr>
        <w:t xml:space="preserve">magnetic susceptibility</w:t>
      </w:r>
      <w:r>
        <w:t xml:space="preserve">. Data can</w:t>
      </w:r>
      <w:r>
        <w:t xml:space="preserve"> </w:t>
      </w:r>
      <w:r>
        <w:t xml:space="preserve">be acquired in the air (planes, satellites), on the ground (stationary, moving</w:t>
      </w:r>
      <w:r>
        <w:t xml:space="preserve"> </w:t>
      </w:r>
      <w:r>
        <w:t xml:space="preserve">platforms, marine) and underground (boreholes, tunnels). The measurements record the sum of</w:t>
      </w:r>
      <w:r>
        <w:t xml:space="preserve"> </w:t>
      </w:r>
      <w:r>
        <w:t xml:space="preserve">Earth's field and fields induced in magnetic materials. More magnetic (i.e.</w:t>
      </w:r>
      <w:r>
        <w:t xml:space="preserve"> </w:t>
      </w:r>
      <w:r>
        <w:t xml:space="preserve">susceptible) materials have stronger induced fields. Removing Earth's field</w:t>
      </w:r>
      <w:r>
        <w:t xml:space="preserve"> </w:t>
      </w:r>
      <w:r>
        <w:t xml:space="preserve">from the observations yields anomalous fields that can be interpreted in terms</w:t>
      </w:r>
      <w:r>
        <w:t xml:space="preserve"> </w:t>
      </w:r>
      <w:r>
        <w:t xml:space="preserve">of where magnetic material lies and also its susceptiblity and shape. Processed data are</w:t>
      </w:r>
      <w:r>
        <w:t xml:space="preserve"> </w:t>
      </w:r>
      <w:r>
        <w:t xml:space="preserve">presented as maps or profiles, and advanced processing, involving inversion,</w:t>
      </w:r>
      <w:r>
        <w:t xml:space="preserve"> </w:t>
      </w:r>
      <w:r>
        <w:t xml:space="preserve">yields parametric structures or 3D models of the subsurface susceptibility</w:t>
      </w:r>
      <w:r>
        <w:t xml:space="preserve"> </w:t>
      </w:r>
      <w:r>
        <w:t xml:space="preserve">distribution. Magnetic surveying is extremely versatile and can be applied in many</w:t>
      </w:r>
      <w:r>
        <w:t xml:space="preserve"> </w:t>
      </w:r>
      <w:r>
        <w:t xml:space="preserve">areas in the geosciences including geologic mapping, mineral exploration,</w:t>
      </w:r>
      <w:r>
        <w:t xml:space="preserve"> </w:t>
      </w:r>
      <w:r>
        <w:t xml:space="preserve">unexploded ordnance detection, and archeology.</w:t>
      </w:r>
    </w:p>
    <w:p>
      <w:pPr>
        <w:pStyle w:val="BodyText"/>
      </w:pPr>
      <w:r>
        <w:t xml:space="preserve">Contents:</w:t>
      </w:r>
    </w:p>
    <w:p>
      <w:pPr>
        <w:pStyle w:val="BodyText"/>
      </w:pPr>
      <w:r>
        <w:t xml:space="preserve">magnetics_introduction</w:t>
      </w:r>
      <w:r>
        <w:t xml:space="preserve"> </w:t>
      </w:r>
      <w:r>
        <w:t xml:space="preserve">magnetics_physical_property</w:t>
      </w:r>
      <w:r>
        <w:t xml:space="preserve"> </w:t>
      </w:r>
      <w:r>
        <w:t xml:space="preserve">magnetics_basic_principles</w:t>
      </w:r>
      <w:r>
        <w:t xml:space="preserve"> </w:t>
      </w:r>
      <w:r>
        <w:t xml:space="preserve">magnetics_survey</w:t>
      </w:r>
      <w:r>
        <w:t xml:space="preserve"> </w:t>
      </w:r>
      <w:r>
        <w:t xml:space="preserve">magnetics_data</w:t>
      </w:r>
      <w:r>
        <w:t xml:space="preserve"> </w:t>
      </w:r>
      <w:r>
        <w:t xml:space="preserve">magnetics_processing</w:t>
      </w:r>
      <w:r>
        <w:t xml:space="preserve"> </w:t>
      </w:r>
      <w:r>
        <w:t xml:space="preserve">magnetics_interpretation</w:t>
      </w:r>
      <w:r>
        <w:t xml:space="preserve"> </w:t>
      </w:r>
      <w:r>
        <w:t xml:space="preserve">magnetics_applet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gif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Magnetics</dc:title>
  <dc:creator/>
  <cp:keywords/>
  <dcterms:created xsi:type="dcterms:W3CDTF">2025-01-16T10:36:08Z</dcterms:created>
  <dcterms:modified xsi:type="dcterms:W3CDTF">2025-01-16T10:36:08Z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