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0.gif" ContentType="image/gif"/>
  <Override PartName="/word/media/rId27.gif" ContentType="image/gi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</w:p>
    <w:p>
      <w:pPr>
        <w:pStyle w:val="CaptionedFigure"/>
      </w:pPr>
      <w:bookmarkStart w:id="23" w:name="mag_measurment"/>
      <w:r>
        <w:drawing>
          <wp:inline>
            <wp:extent cx="2540000" cy="2387600"/>
            <wp:effectExtent b="0" l="0" r="0" t="0"/>
            <wp:docPr descr="./images/measurements.gif" title="" id="21" name="Picture"/>
            <a:graphic>
              <a:graphicData uri="http://schemas.openxmlformats.org/drawingml/2006/picture">
                <pic:pic>
                  <pic:nvPicPr>
                    <pic:cNvPr descr="./images/measurements.gif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38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Contributions to a magnetic measurement</w:t>
      </w:r>
    </w:p>
    <w:p>
      <w:pPr>
        <w:pStyle w:val="BodyText"/>
      </w:pPr>
      <w:r>
        <w:t xml:space="preserve">In this section we present a summary about the different types of magnetic data. Different assumptions are made depending on the type of</w:t>
      </w:r>
      <w:r>
        <w:t xml:space="preserve"> </w:t>
      </w:r>
      <w:r>
        <w:rPr>
          <w:rStyle w:val="VerbatimChar"/>
        </w:rPr>
        <w:t xml:space="preserve">instrument&lt;magnetics_instrumentation&gt;</w:t>
      </w:r>
      <w:r>
        <w:t xml:space="preserve"> </w:t>
      </w:r>
      <w:r>
        <w:t xml:space="preserve">used during acquisition.</w:t>
      </w:r>
    </w:p>
    <w:bookmarkStart w:id="31" w:name="magnetics_field_data"/>
    <w:p>
      <w:pPr>
        <w:pStyle w:val="Heading1"/>
      </w:pPr>
      <w:r>
        <w:t xml:space="preserve">Magnetic field data</w:t>
      </w:r>
    </w:p>
    <w:p>
      <w:pPr>
        <w:pStyle w:val="FirstParagraph"/>
      </w:pPr>
      <w:r>
        <w:t xml:space="preserve">As demonstrated in</w:t>
      </w:r>
      <w:r>
        <w:t xml:space="preserve"> </w:t>
      </w:r>
      <w:r>
        <w:rPr>
          <w:rStyle w:val="VerbatimChar"/>
        </w:rPr>
        <w:t xml:space="preserve">mag_measurment</w:t>
      </w:r>
      <w:r>
        <w:t xml:space="preserve">, the magnetic field measured above the surface is a vector quantity. The</w:t>
      </w:r>
      <w:r>
        <w:t xml:space="preserve"> </w:t>
      </w:r>
      <w:r>
        <w:rPr>
          <w:i/>
          <w:iCs/>
        </w:rPr>
        <w:t xml:space="preserve">magnetic field data</w:t>
      </w:r>
      <w:r>
        <w:t xml:space="preserve"> </w:t>
      </w:r>
      <w:r>
        <w:t xml:space="preserve">measured at any location contains the signal from both the</w:t>
      </w:r>
      <w:r>
        <w:t xml:space="preserve"> </w:t>
      </w:r>
      <w:r>
        <w:rPr>
          <w:rStyle w:val="VerbatimChar"/>
        </w:rPr>
        <w:t xml:space="preserve">source&lt;earth_s_field&gt;</w:t>
      </w:r>
      <w:r>
        <w:t xml:space="preserve"> </w:t>
      </w:r>
      <w:r>
        <w:t xml:space="preserve">(</w:t>
      </w:r>
      <m:oMath>
        <m:sSub>
          <m:e>
            <m:r>
              <m:rPr>
                <m:sty m:val="b"/>
              </m:rPr>
              <m:t>B</m:t>
            </m:r>
          </m:e>
          <m:sub>
            <m:r>
              <m:t>0</m:t>
            </m:r>
          </m:sub>
        </m:sSub>
      </m:oMath>
      <w:r>
        <w:t xml:space="preserve">), as well as the</w:t>
      </w:r>
      <w:r>
        <w:t xml:space="preserve"> </w:t>
      </w:r>
      <w:r>
        <w:rPr>
          <w:rStyle w:val="VerbatimChar"/>
        </w:rPr>
        <w:t xml:space="preserve">response&lt;magnetics_responses&gt;</w:t>
      </w:r>
      <w:r>
        <w:t xml:space="preserve"> </w:t>
      </w:r>
      <w:r>
        <w:t xml:space="preserve">(</w:t>
      </w:r>
      <m:oMath>
        <m:sSub>
          <m:e>
            <m:r>
              <m:rPr>
                <m:sty m:val="b"/>
              </m:rPr>
              <m:t>B</m:t>
            </m:r>
          </m:e>
          <m:sub>
            <m:r>
              <m:t>A</m:t>
            </m:r>
          </m:sub>
        </m:sSub>
      </m:oMath>
      <w:r>
        <w:t xml:space="preserve">) from</w:t>
      </w:r>
      <w:r>
        <w:t xml:space="preserve"> </w:t>
      </w:r>
      <w:r>
        <w:rPr>
          <w:rStyle w:val="VerbatimChar"/>
        </w:rPr>
        <w:t xml:space="preserve">magnetized&lt;magnetics_magnetization&gt;</w:t>
      </w:r>
      <w:r>
        <w:t xml:space="preserve"> </w:t>
      </w:r>
      <w:r>
        <w:t xml:space="preserve">material: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B</m:t>
          </m:r>
          <m:r>
            <m:rPr>
              <m:sty m:val="p"/>
            </m:rPr>
            <m:t>=</m:t>
          </m:r>
          <m:sSub>
            <m:e>
              <m:r>
                <m:rPr>
                  <m:sty m:val="b"/>
                </m:rPr>
                <m:t>B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rPr>
                  <m:sty m:val="b"/>
                </m:rPr>
                <m:t>B</m:t>
              </m:r>
            </m:e>
            <m:sub>
              <m:r>
                <m:t>A</m:t>
              </m:r>
            </m:sub>
          </m:sSub>
          <m:r>
            <m:t> 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In ideal cases, magnetic surveys would measure all three components of the field (</w:t>
      </w:r>
      <w:r>
        <w:rPr>
          <w:rStyle w:val="VerbatimChar"/>
        </w:rPr>
        <w:t xml:space="preserve">fluxgate magnetometer&lt;magnetics_fluxgate&gt;</w:t>
      </w:r>
      <w:r>
        <w:t xml:space="preserve">). The</w:t>
      </w:r>
      <w:r>
        <w:t xml:space="preserve"> </w:t>
      </w:r>
      <w:r>
        <w:rPr>
          <w:i/>
          <w:iCs/>
        </w:rPr>
        <w:t xml:space="preserve">magnetic field anomaly</w:t>
      </w:r>
      <w:r>
        <w:t xml:space="preserve">, the quantity of interest, is readily available by simple subtraction of the inducing field such that: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>
                  <m:sty m:val="b"/>
                </m:rPr>
                <m:t>B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=</m:t>
          </m:r>
          <m:r>
            <m:rPr>
              <m:sty m:val="b"/>
            </m:rPr>
            <m:t>B</m:t>
          </m:r>
          <m:r>
            <m:rPr>
              <m:sty m:val="p"/>
            </m:rPr>
            <m:t>−</m:t>
          </m:r>
          <m:sSub>
            <m:e>
              <m:r>
                <m:rPr>
                  <m:sty m:val="b"/>
                </m:rPr>
                <m:t>B</m:t>
              </m:r>
            </m:e>
            <m:sub>
              <m:r>
                <m:t>0</m:t>
              </m:r>
            </m:sub>
          </m:sSub>
          <m:r>
            <m:t> 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The acquisition of three-components data remains challenging however. The orientation of each components needs to corrected in real-time in order to compensate for sensors rotation. Most surveys measure instead the total strength of the field, or</w:t>
      </w:r>
      <w:r>
        <w:t xml:space="preserve"> </w:t>
      </w:r>
      <w:r>
        <w:rPr>
          <w:i/>
          <w:iCs/>
        </w:rPr>
        <w:t xml:space="preserve">Total Magnetic Intensity</w:t>
      </w:r>
      <w:r>
        <w:t xml:space="preserve"> </w:t>
      </w:r>
      <w:r>
        <w:t xml:space="preserve">data: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|"/>
              <m:sepChr m:val=""/>
              <m:endChr m:val="|"/>
              <m:grow/>
            </m:dPr>
            <m:e>
              <m:r>
                <m:rPr>
                  <m:sty m:val="b"/>
                </m:rPr>
                <m:t>B</m:t>
              </m:r>
            </m:e>
          </m:d>
          <m:r>
            <m:rPr>
              <m:sty m:val="p"/>
            </m:rPr>
            <m:t>=</m:t>
          </m:r>
          <m:d>
            <m:dPr>
              <m:begChr m:val="|"/>
              <m:sepChr m:val=""/>
              <m:endChr m:val="|"/>
              <m:grow/>
            </m:dPr>
            <m:e>
              <m:sSub>
                <m:e>
                  <m:r>
                    <m:rPr>
                      <m:sty m:val="b"/>
                    </m:rPr>
                    <m:t>B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b"/>
                    </m:rPr>
                    <m:t>B</m:t>
                  </m:r>
                </m:e>
                <m:sub>
                  <m:r>
                    <m:t>A</m:t>
                  </m:r>
                </m:sub>
              </m:sSub>
            </m:e>
          </m:d>
          <m:r>
            <m:t> 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Since we do not know the direction of</w:t>
      </w:r>
      <w:r>
        <w:t xml:space="preserve"> </w:t>
      </w:r>
      <m:oMath>
        <m:sSub>
          <m:e>
            <m:r>
              <m:rPr>
                <m:sty m:val="b"/>
              </m:rPr>
              <m:t>B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we assume that the anomalous field is mostly induced and that it's direction aligns with the Earth's inducing field</w:t>
      </w:r>
      <w:r>
        <w:t xml:space="preserve"> </w:t>
      </w:r>
      <m:oMath>
        <m:sSub>
          <m:e>
            <m:r>
              <m:rPr>
                <m:sty m:val="b"/>
              </m:rPr>
              <m:t>B</m:t>
            </m:r>
          </m:e>
          <m:sub>
            <m:r>
              <m:t>0</m:t>
            </m:r>
          </m:sub>
        </m:sSub>
      </m:oMath>
      <w:r>
        <w:t xml:space="preserve">. This allows us to approximate the</w:t>
      </w:r>
      <w:r>
        <w:t xml:space="preserve"> </w:t>
      </w:r>
      <w:r>
        <w:rPr>
          <w:i/>
          <w:iCs/>
        </w:rPr>
        <w:t xml:space="preserve">Total Magnetic Anomaly</w:t>
      </w:r>
      <w:r>
        <w:t xml:space="preserve"> </w:t>
      </w:r>
      <w:r>
        <w:t xml:space="preserve">datum: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rPr>
                  <m:sty m:val="b"/>
                </m:rPr>
                <m:t>B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⋅</m:t>
          </m:r>
          <m:sSub>
            <m:e>
              <m:acc>
                <m:accPr>
                  <m:chr m:val="̂"/>
                </m:accPr>
                <m:e>
                  <m:r>
                    <m:rPr>
                      <m:sty m:val="b"/>
                    </m:rPr>
                    <m:t>B</m:t>
                  </m:r>
                </m:e>
              </m:acc>
            </m:e>
            <m:sub>
              <m:r>
                <m:t>0</m:t>
              </m:r>
            </m:sub>
          </m:sSub>
          <m:r>
            <m:t> </m:t>
          </m:r>
          <m:r>
            <m:rPr>
              <m:sty m:val="p"/>
            </m:rPr>
            <m:t>,</m:t>
          </m:r>
        </m:oMath>
      </m:oMathPara>
    </w:p>
    <w:p>
      <w:pPr>
        <w:pStyle w:val="Figure"/>
      </w:pPr>
      <w:r>
        <w:drawing>
          <wp:inline>
            <wp:extent cx="4876800" cy="2438400"/>
            <wp:effectExtent b="0" l="0" r="0" t="0"/>
            <wp:docPr descr="./images/TMI_anomaly.png" title="" id="25" name="Picture"/>
            <a:graphic>
              <a:graphicData uri="http://schemas.openxmlformats.org/drawingml/2006/picture">
                <pic:pic>
                  <pic:nvPicPr>
                    <pic:cNvPr descr="./images/TMI_anomaly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This assumption holds as long as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rPr>
                    <m:sty m:val="b"/>
                  </m:rPr>
                  <m:t>B</m:t>
                </m:r>
              </m:e>
            </m:acc>
          </m:e>
          <m:sub>
            <m:r>
              <m:t>0</m:t>
            </m:r>
          </m:sub>
        </m:sSub>
        <m:r>
          <m:rPr>
            <m:sty m:val="p"/>
          </m:rPr>
          <m:t>≫</m:t>
        </m:r>
        <m:sSub>
          <m:e>
            <m:acc>
              <m:accPr>
                <m:chr m:val="̂"/>
              </m:accPr>
              <m:e>
                <m:r>
                  <m:rPr>
                    <m:sty m:val="b"/>
                  </m:rPr>
                  <m:t>B</m:t>
                </m:r>
              </m:e>
            </m:acc>
          </m:e>
          <m:sub>
            <m:r>
              <m:t>A</m:t>
            </m:r>
          </m:sub>
        </m:sSub>
      </m:oMath>
      <w:r>
        <w:t xml:space="preserve">, which is valid in most cases considering the strength of the Earth's field.</w:t>
      </w:r>
    </w:p>
    <w:bookmarkStart w:id="30" w:name="magnetics_gradient_data"/>
    <w:p>
      <w:pPr>
        <w:pStyle w:val="Heading2"/>
      </w:pPr>
      <w:r>
        <w:t xml:space="preserve">Gradient measurements</w:t>
      </w:r>
    </w:p>
    <w:p>
      <w:pPr>
        <w:pStyle w:val="FirstParagraph"/>
      </w:pPr>
      <w:r>
        <w:rPr>
          <w:b/>
          <w:bCs/>
        </w:rPr>
        <w:t xml:space="preserve">Outline of gradient magnetics</w:t>
      </w:r>
    </w:p>
    <w:p>
      <w:pPr>
        <w:pStyle w:val="Figure"/>
      </w:pPr>
      <w:r>
        <w:drawing>
          <wp:inline>
            <wp:extent cx="1638300" cy="1778000"/>
            <wp:effectExtent b="0" l="0" r="0" t="0"/>
            <wp:docPr descr="images/icon_maggrad.gif" title="" id="28" name="Picture"/>
            <a:graphic>
              <a:graphicData uri="http://schemas.openxmlformats.org/drawingml/2006/picture">
                <pic:pic>
                  <pic:nvPicPr>
                    <pic:cNvPr descr="images/icon_maggrad.gif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When buried objects are the target, geophysical surveys must usually detect</w:t>
      </w:r>
      <w:r>
        <w:t xml:space="preserve"> </w:t>
      </w:r>
      <w:r>
        <w:t xml:space="preserve">features with high magnetic susceptibility and/or high electrical</w:t>
      </w:r>
      <w:r>
        <w:t xml:space="preserve"> </w:t>
      </w:r>
      <w:r>
        <w:t xml:space="preserve">conductivity. Some objects will be magnetic, but others have negligible</w:t>
      </w:r>
      <w:r>
        <w:t xml:space="preserve"> </w:t>
      </w:r>
      <w:r>
        <w:t xml:space="preserve">magnetic susceptibility (such as aluminum or some forms of stainless steel).</w:t>
      </w:r>
      <w:r>
        <w:t xml:space="preserve"> </w:t>
      </w:r>
      <w:r>
        <w:t xml:space="preserve">When the buried targets are expected to be magnetic, measurements of</w:t>
      </w:r>
      <w:r>
        <w:t xml:space="preserve"> </w:t>
      </w:r>
      <w:r>
        <w:t xml:space="preserve">variations in the strength of Earth's magnetic field often produce excellent</w:t>
      </w:r>
      <w:r>
        <w:t xml:space="preserve"> </w:t>
      </w:r>
      <w:r>
        <w:t xml:space="preserve">results. However, because of the many ferrous objects and electrical sources</w:t>
      </w:r>
      <w:r>
        <w:t xml:space="preserve"> </w:t>
      </w:r>
      <w:r>
        <w:t xml:space="preserve">of magnetic fields under and around industrial sites, total field anomaly maps</w:t>
      </w:r>
      <w:r>
        <w:t xml:space="preserve"> </w:t>
      </w:r>
      <w:r>
        <w:t xml:space="preserve">may be too complicated to interpret, or subtle variations may be overwhelmed</w:t>
      </w:r>
      <w:r>
        <w:t xml:space="preserve"> </w:t>
      </w:r>
      <w:r>
        <w:t xml:space="preserve">by larger features. A gradient survey is often a better choice under these</w:t>
      </w:r>
      <w:r>
        <w:t xml:space="preserve"> </w:t>
      </w:r>
      <w:r>
        <w:t xml:space="preserve">conditions because the magnetic field gradient varies more rapidly than total</w:t>
      </w:r>
      <w:r>
        <w:t xml:space="preserve"> </w:t>
      </w:r>
      <w:r>
        <w:t xml:space="preserve">field strength and it, therefore, provides higher spatial resolution. This is</w:t>
      </w:r>
      <w:r>
        <w:t xml:space="preserve"> </w:t>
      </w:r>
      <w:r>
        <w:t xml:space="preserve">illustrated by the interactive figures below.</w:t>
      </w:r>
    </w:p>
    <w:p>
      <w:pPr>
        <w:pStyle w:val="BodyText"/>
      </w:pPr>
      <w:r>
        <w:t xml:space="preserve">In addition to higher spacial resolution, temporal variations are</w:t>
      </w:r>
      <w:r>
        <w:t xml:space="preserve"> </w:t>
      </w:r>
      <w:r>
        <w:t xml:space="preserve">automatically eliminated because the measured parameter is a difference of two</w:t>
      </w:r>
      <w:r>
        <w:t xml:space="preserve"> </w:t>
      </w:r>
      <w:r>
        <w:t xml:space="preserve">total field measurements. Therefore, the base station measurements and</w:t>
      </w:r>
      <w:r>
        <w:t xml:space="preserve"> </w:t>
      </w:r>
      <w:r>
        <w:t xml:space="preserve">subsequent data corrections normally required for total field surveys are not</w:t>
      </w:r>
      <w:r>
        <w:t xml:space="preserve"> </w:t>
      </w:r>
      <w:r>
        <w:t xml:space="preserve">required. If the goal is to map variations in geological materials, then more</w:t>
      </w:r>
      <w:r>
        <w:t xml:space="preserve"> </w:t>
      </w:r>
      <w:r>
        <w:t xml:space="preserve">subtle trends in magnetic response must be observed.</w:t>
      </w:r>
    </w:p>
    <w:p>
      <w:pPr>
        <w:pStyle w:val="BodyText"/>
      </w:pPr>
      <w:r>
        <w:t xml:space="preserve">The vertical gradient is measured using two</w:t>
      </w:r>
      <w:r>
        <w:t xml:space="preserve"> </w:t>
      </w:r>
      <w:r>
        <w:t xml:space="preserve">sensors at (typically) 2 and 3 meters above the ground. Horizontal gradient</w:t>
      </w:r>
      <w:r>
        <w:t xml:space="preserve"> </w:t>
      </w:r>
      <w:r>
        <w:t xml:space="preserve">surveys can be conducted if the sensors can be mounted some distance apart on</w:t>
      </w:r>
      <w:r>
        <w:t xml:space="preserve"> </w:t>
      </w:r>
      <w:r>
        <w:t xml:space="preserve">a frame.</w:t>
      </w:r>
    </w:p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0" Target="media/rId20.gif" /><Relationship Type="http://schemas.openxmlformats.org/officeDocument/2006/relationships/image" Id="rId27" Target="media/rId27.gif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</dc:title>
  <dc:creator/>
  <cp:keywords/>
  <dcterms:created xsi:type="dcterms:W3CDTF">2025-01-16T10:36:14Z</dcterms:created>
  <dcterms:modified xsi:type="dcterms:W3CDTF">2025-01-16T10:36:14Z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