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Chargeability</w:t>
      </w:r>
    </w:p>
    <w:p>
      <w:pPr>
        <w:pStyle w:val="FirstParagraph"/>
      </w:pPr>
      <w:r>
        <w:t xml:space="preserve">Chargeability is a physical property related to conductivity. As we learned</w:t>
      </w:r>
      <w:r>
        <w:t xml:space="preserve"> </w:t>
      </w:r>
      <w:r>
        <w:t xml:space="preserve">previously, ionic charges within a rock's pore water begin to move under the</w:t>
      </w:r>
      <w:r>
        <w:t xml:space="preserve"> </w:t>
      </w:r>
      <w:r>
        <w:t xml:space="preserve">influence of an electric field, resulting in electrical current. However, some</w:t>
      </w:r>
      <w:r>
        <w:t xml:space="preserve"> </w:t>
      </w:r>
      <w:r>
        <w:t xml:space="preserve">of the pore ions do not move uninhibited through the rock and begin to</w:t>
      </w:r>
      <w:r>
        <w:t xml:space="preserve"> </w:t>
      </w:r>
      <w:r>
        <w:t xml:space="preserve">accumulate at impermeable boundaries. This build-up of ionic charges is</w:t>
      </w:r>
      <w:r>
        <w:t xml:space="preserve"> </w:t>
      </w:r>
      <w:r>
        <w:t xml:space="preserve">commonly referred to as induced polarization (IP), as it is responsible for</w:t>
      </w:r>
      <w:r>
        <w:t xml:space="preserve"> </w:t>
      </w:r>
      <w:r>
        <w:t xml:space="preserve">generating electric dipole moments within the rock. We use chargeability to</w:t>
      </w:r>
      <w:r>
        <w:t xml:space="preserve"> </w:t>
      </w:r>
      <w:r>
        <w:t xml:space="preserve">characterize the formation and strength of the induced polarization within a</w:t>
      </w:r>
      <w:r>
        <w:t xml:space="preserve"> </w:t>
      </w:r>
      <w:r>
        <w:t xml:space="preserve">rock, under the influence of an electric field.</w:t>
      </w:r>
    </w:p>
    <w:p>
      <w:pPr>
        <w:pStyle w:val="BodyText"/>
      </w:pPr>
      <w:r>
        <w:t xml:space="preserve">The physical explanation for causes of chargeabilty are complex and not</w:t>
      </w:r>
      <w:r>
        <w:t xml:space="preserve"> </w:t>
      </w:r>
      <w:r>
        <w:t xml:space="preserve">completely understood. Certainly the effects are dependent upon the</w:t>
      </w:r>
      <w:r>
        <w:t xml:space="preserve"> </w:t>
      </w:r>
      <w:r>
        <w:t xml:space="preserve">microscopic nature the material and specifically upon the surface to</w:t>
      </w:r>
      <w:r>
        <w:t xml:space="preserve"> </w:t>
      </w:r>
      <w:r>
        <w:t xml:space="preserve">volume ratio of pore material and the types of fluids in the rock. The</w:t>
      </w:r>
      <w:r>
        <w:t xml:space="preserve"> </w:t>
      </w:r>
      <w:r>
        <w:t xml:space="preserve">two images below offer some insight into the complexity.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images/images_duplicates/illite.gif</w:t>
            </w:r>
          </w:p>
        </w:tc>
      </w:tr>
    </w:tbl>
    <w:p>
      <w:pPr>
        <w:pStyle w:val="ImageCaption"/>
      </w:pPr>
      <w:r>
        <w:t xml:space="preserve">Illite (a clay mineral) with surface area-to-volume ratio of</w:t>
      </w:r>
      <w:r>
        <w:t xml:space="preserve"> </w:t>
      </w:r>
      <m:oMath>
        <m:r>
          <m:t>100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r>
          <m:t>g</m:t>
        </m:r>
      </m:oMath>
      <w:r>
        <w:t xml:space="preserve"> </w:t>
      </w:r>
      <w:r>
        <w:t xml:space="preserve">(1000 times greater than sandstone)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images/images_duplicates/quartz.gif</w:t>
            </w:r>
          </w:p>
        </w:tc>
      </w:tr>
    </w:tbl>
    <w:p>
      <w:pPr>
        <w:pStyle w:val="ImageCaption"/>
      </w:pPr>
      <w:r>
        <w:t xml:space="preserve">Quartz overgrowths in sandstone with surface area-to-volume ratio of</w:t>
      </w:r>
      <w:r>
        <w:t xml:space="preserve"> </w:t>
      </w:r>
      <m:oMath>
        <m:r>
          <m:t>0.1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r>
          <m:t>g</m:t>
        </m:r>
      </m:oMath>
    </w:p>
    <w:p>
      <w:pPr>
        <w:pStyle w:val="FirstParagraph"/>
      </w:pPr>
      <w:r>
        <w:t xml:space="preserve">Despite the complexity are two primary phenomenological mechanisms which are</w:t>
      </w:r>
      <w:r>
        <w:t xml:space="preserve"> </w:t>
      </w:r>
      <w:r>
        <w:t xml:space="preserve">insightful in characterizing the chargeable</w:t>
      </w:r>
      <w:r>
        <w:t xml:space="preserve"> </w:t>
      </w:r>
      <w:r>
        <w:t xml:space="preserve">behaviour of rocks: membrane polarization and electrode polarization.</w:t>
      </w:r>
    </w:p>
    <w:p>
      <w:pPr>
        <w:pStyle w:val="BodyText"/>
      </w:pPr>
      <w:r>
        <w:rPr>
          <w:b/>
          <w:bCs/>
        </w:rPr>
        <w:t xml:space="preserve">Membrane Polarization</w:t>
      </w:r>
    </w:p>
    <w:p>
      <w:pPr>
        <w:pStyle w:val="BodyText"/>
      </w:pPr>
      <w:r>
        <w:t xml:space="preserve">Membrane polarization occurs when the pore space narrows to a within several</w:t>
      </w:r>
      <w:r>
        <w:t xml:space="preserve"> </w:t>
      </w:r>
      <w:r>
        <w:t xml:space="preserve">ion widths.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images/images_duplicates/memb1.gif</w:t>
            </w:r>
          </w:p>
        </w:tc>
      </w:tr>
    </w:tbl>
    <w:p>
      <w:pPr>
        <w:pStyle w:val="FirstParagraph"/>
      </w:pPr>
      <w:r>
        <w:t xml:space="preserve">Because ionic charges cannot be forced through the pore throat, they</w:t>
      </w:r>
      <w:r>
        <w:t xml:space="preserve"> </w:t>
      </w:r>
      <w:r>
        <w:t xml:space="preserve">accumulate on either side when an electric field is applied; with positive</w:t>
      </w:r>
      <w:r>
        <w:t xml:space="preserve"> </w:t>
      </w:r>
      <w:r>
        <w:t xml:space="preserve">charges accumulating on one side of the pore throat and negative charges</w:t>
      </w:r>
      <w:r>
        <w:t xml:space="preserve"> </w:t>
      </w:r>
      <w:r>
        <w:t xml:space="preserve">accumulating on the other. The accumulation of charges eventually stops</w:t>
      </w:r>
      <w:r>
        <w:t xml:space="preserve"> </w:t>
      </w:r>
      <w:r>
        <w:t xml:space="preserve">because the electric fields from the blocked charges becomes large enough</w:t>
      </w:r>
      <w:r>
        <w:t xml:space="preserve"> </w:t>
      </w:r>
      <w:r>
        <w:t xml:space="preserve">that it prevents other ions of the same sign from joining the group.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images/images_duplicates/memb2.gif</w:t>
            </w:r>
          </w:p>
        </w:tc>
      </w:tr>
    </w:tbl>
    <w:p>
      <w:pPr>
        <w:pStyle w:val="FirstParagraph"/>
      </w:pPr>
      <w:r>
        <w:t xml:space="preserve">The net separation of positive and negative charges across narrow pore spaces</w:t>
      </w:r>
      <w:r>
        <w:t xml:space="preserve"> </w:t>
      </w:r>
      <w:r>
        <w:t xml:space="preserve">generates a set of electric dipole moments which is ultimately responsible for</w:t>
      </w:r>
      <w:r>
        <w:t xml:space="preserve"> </w:t>
      </w:r>
      <w:r>
        <w:t xml:space="preserve">the voltages measured in induced polarization survey.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images/images_duplicates/memb3.gif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Electrode Polarization</w:t>
      </w:r>
    </w:p>
    <w:p>
      <w:pPr>
        <w:pStyle w:val="BodyText"/>
      </w:pPr>
      <w:r>
        <w:t xml:space="preserve">Electrode polarization occurs when the pore space is blocked by metallic</w:t>
      </w:r>
      <w:r>
        <w:t xml:space="preserve"> </w:t>
      </w:r>
      <w:r>
        <w:t xml:space="preserve">particles. When an electric field is applied, the metallic particles become</w:t>
      </w:r>
      <w:r>
        <w:t xml:space="preserve"> </w:t>
      </w:r>
      <w:r>
        <w:t xml:space="preserve">electrically charged and attract nearby ions.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images/images_duplicates/elec_pol_1.gif</w:t>
            </w:r>
          </w:p>
        </w:tc>
      </w:tr>
    </w:tbl>
    <w:p>
      <w:pPr>
        <w:pStyle w:val="FirstParagraph"/>
      </w:pPr>
      <w:r>
        <w:t xml:space="preserve">The attraction of the ions to the surface forms a primary layer of fixed ionic</w:t>
      </w:r>
      <w:r>
        <w:t xml:space="preserve"> </w:t>
      </w:r>
      <w:r>
        <w:t xml:space="preserve">charges, followed by a secondary diffuse layer of opposing charges. This is</w:t>
      </w:r>
      <w:r>
        <w:t xml:space="preserve"> </w:t>
      </w:r>
      <w:r>
        <w:t xml:space="preserve">known as an electric double layer.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images/images_duplicates/elec_pol_3.gif</w:t>
            </w:r>
          </w:p>
        </w:tc>
      </w:tr>
    </w:tbl>
    <w:p>
      <w:pPr>
        <w:pStyle w:val="FirstParagraph"/>
      </w:pPr>
      <w:r>
        <w:t xml:space="preserve">Each electric double layer results in an electric dipole moment which</w:t>
      </w:r>
      <w:r>
        <w:t xml:space="preserve"> </w:t>
      </w:r>
      <w:r>
        <w:t xml:space="preserve">contributes towards the induced polarization within the rock.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images/images_duplicates/elec_pol_2.gif</w:t>
            </w:r>
          </w:p>
        </w:tc>
      </w:tr>
    </w:tbl>
    <w:bookmarkStart w:id="21" w:name="X33dfd3e6de0685935a74bd6861b0348374b4dbc"/>
    <w:p>
      <w:pPr>
        <w:pStyle w:val="Heading1"/>
      </w:pPr>
      <w:r>
        <w:t xml:space="preserve">Effects of IP on Geophysical Measurements</w:t>
      </w:r>
    </w:p>
    <w:p>
      <w:pPr>
        <w:pStyle w:val="FirstParagraph"/>
      </w:pPr>
      <w:r>
        <w:t xml:space="preserve">To demonstrate the effects of induced polarization on geophysical</w:t>
      </w:r>
      <w:r>
        <w:t xml:space="preserve"> </w:t>
      </w:r>
      <w:r>
        <w:t xml:space="preserve">measurements, consider a specific example where a current generator,</w:t>
      </w:r>
      <w:r>
        <w:t xml:space="preserve"> </w:t>
      </w:r>
      <w:r>
        <w:t xml:space="preserve">hooked to the ground as in a DC survey, is turned on.</w:t>
      </w:r>
      <w:r>
        <w:t xml:space="preserve"> </w:t>
      </w:r>
      <w:r>
        <w:t xml:space="preserve">At some location, the electric</w:t>
      </w:r>
      <w:r>
        <w:t xml:space="preserve"> </w:t>
      </w:r>
      <w:r>
        <w:t xml:space="preserve">potential (</w:t>
      </w:r>
      <m:oMath>
        <m:r>
          <m:t>V</m:t>
        </m:r>
      </m:oMath>
      <w:r>
        <w:t xml:space="preserve">) is measured. In non-chargeable rocks, an instantaneous</w:t>
      </w:r>
      <w:r>
        <w:t xml:space="preserve"> </w:t>
      </w:r>
      <w:r>
        <w:t xml:space="preserve">increase in the measured potential occurs when the source is switched</w:t>
      </w:r>
      <w:r>
        <w:t xml:space="preserve"> </w:t>
      </w:r>
      <w:r>
        <w:t xml:space="preserve">on. When the source is switched off, the current through the Earth returns</w:t>
      </w:r>
      <w:r>
        <w:t xml:space="preserve"> </w:t>
      </w:r>
      <w:r>
        <w:t xml:space="preserve">immediately to zero and</w:t>
      </w:r>
      <w:r>
        <w:t xml:space="preserve"> </w:t>
      </w:r>
      <w:r>
        <w:t xml:space="preserve">so is the measured potential. This is illustrated in the figure below.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images/images_duplicates/IP_source.gif</w:t>
            </w:r>
          </w:p>
        </w:tc>
      </w:tr>
    </w:tbl>
    <w:p>
      <w:pPr>
        <w:pStyle w:val="BodyText"/>
      </w:pPr>
      <w:r>
        <w:t xml:space="preserve">If the ground is chargeable, there will also be an instantaneous jump in the</w:t>
      </w:r>
      <w:r>
        <w:t xml:space="preserve"> </w:t>
      </w:r>
      <w:r>
        <w:t xml:space="preserve">measured potential when the source is switched on; we denote as</w:t>
      </w:r>
      <w:r>
        <w:t xml:space="preserve"> </w:t>
      </w:r>
      <m:oMath>
        <m:sSub>
          <m:e>
            <m:r>
              <m:t>V</m:t>
            </m:r>
          </m:e>
          <m:sub>
            <m:r>
              <m:t>σ</m:t>
            </m:r>
          </m:sub>
        </m:sSub>
      </m:oMath>
      <w:r>
        <w:t xml:space="preserve">. However, the subsequent build-up of ionic charges during the</w:t>
      </w:r>
      <w:r>
        <w:t xml:space="preserve"> </w:t>
      </w:r>
      <w:r>
        <w:t xml:space="preserve">on-time results in a corresponding increase in the measured potential; which</w:t>
      </w:r>
      <w:r>
        <w:t xml:space="preserve"> </w:t>
      </w:r>
      <w:r>
        <w:t xml:space="preserve">is sometimes referred to as the over-voltage. Eventually, the build-up of</w:t>
      </w:r>
      <w:r>
        <w:t xml:space="preserve"> </w:t>
      </w:r>
      <w:r>
        <w:t xml:space="preserve">ionic charges reaches saturation, resulting in a final measured potential</w:t>
      </w:r>
      <w:r>
        <w:t xml:space="preserve"> </w:t>
      </w:r>
      <w:r>
        <w:t xml:space="preserve">(</w:t>
      </w:r>
      <m:oMath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). In general, the measured potential after the source is switched</w:t>
      </w:r>
      <w:r>
        <w:t xml:space="preserve"> </w:t>
      </w:r>
      <w:r>
        <w:t xml:space="preserve">(</w:t>
      </w:r>
      <m:oMath>
        <m:sSub>
          <m:e>
            <m:r>
              <m:t>V</m:t>
            </m:r>
          </m:e>
          <m:sub>
            <m:r>
              <m:t>o</m:t>
            </m:r>
            <m:r>
              <m:t>n</m:t>
            </m:r>
          </m:sub>
        </m:sSub>
      </m:oMath>
      <w:r>
        <w:t xml:space="preserve">) can be expressed as: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images/chargeability_physics2.png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o</m:t>
              </m:r>
              <m:r>
                <m:t>n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σ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s</m:t>
              </m:r>
            </m:sub>
          </m:sSub>
          <m:d>
            <m:dPr>
              <m:begChr m:val="["/>
              <m:sepChr m:val=""/>
              <m:endChr m:val="]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sty m:val="p"/>
                    </m:rPr>
                    <m:t>/</m:t>
                  </m:r>
                  <m:r>
                    <m:t>τ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V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amplitude of the over-voltage and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is a</w:t>
      </w:r>
      <w:r>
        <w:t xml:space="preserve"> </w:t>
      </w:r>
      <w:r>
        <w:t xml:space="preserve">constant which determines the rate at which the induced polarization forms.</w:t>
      </w:r>
    </w:p>
    <w:p>
      <w:pPr>
        <w:pStyle w:val="BodyText"/>
      </w:pPr>
      <w:r>
        <w:t xml:space="preserve">When the source is switched off, there is an instantaneous drop in the</w:t>
      </w:r>
      <w:r>
        <w:t xml:space="preserve"> </w:t>
      </w:r>
      <w:r>
        <w:t xml:space="preserve">measured potential equal to</w:t>
      </w:r>
      <w:r>
        <w:t xml:space="preserve"> </w:t>
      </w:r>
      <m:oMath>
        <m:sSub>
          <m:e>
            <m:r>
              <m:t>V</m:t>
            </m:r>
          </m:e>
          <m:sub>
            <m:r>
              <m:t>σ</m:t>
            </m:r>
          </m:sub>
        </m:sSub>
      </m:oMath>
      <w:r>
        <w:t xml:space="preserve">. Subsequently, the accumulated</w:t>
      </w:r>
      <w:r>
        <w:t xml:space="preserve"> </w:t>
      </w:r>
      <w:r>
        <w:t xml:space="preserve">charges begin to diffuse, resulting in a measured potential which decays</w:t>
      </w:r>
      <w:r>
        <w:t xml:space="preserve"> </w:t>
      </w:r>
      <w:r>
        <w:t xml:space="preserve">according to: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o</m:t>
              </m:r>
              <m:r>
                <m:t>f</m:t>
              </m:r>
              <m:r>
                <m:t>f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s</m:t>
              </m:r>
            </m:sub>
          </m:sSub>
          <m:r>
            <m:t> 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t</m:t>
              </m:r>
              <m:r>
                <m:rPr>
                  <m:sty m:val="p"/>
                </m:rPr>
                <m:t>/</m:t>
              </m:r>
              <m:r>
                <m:t>τ</m:t>
              </m:r>
            </m:sup>
          </m:sSup>
        </m:oMath>
      </m:oMathPara>
    </w:p>
    <w:p>
      <w:pPr>
        <w:pStyle w:val="FirstParagraph"/>
      </w:pPr>
      <w:r>
        <w:t xml:space="preserve">This decaying off-time potential is commonly called the discharge curve.</w:t>
      </w:r>
      <w:r>
        <w:t xml:space="preserve"> </w:t>
      </w:r>
      <w:r>
        <w:t xml:space="preserve">We use the discharge curve to characterize the chargeable properties of the Earth.</w:t>
      </w:r>
    </w:p>
    <w:bookmarkStart w:id="20" w:name="definitions-for-chargeability"/>
    <w:p>
      <w:pPr>
        <w:pStyle w:val="Heading2"/>
      </w:pPr>
      <w:r>
        <w:t xml:space="preserve">Definitions for Chargeability</w:t>
      </w:r>
    </w:p>
    <w:p>
      <w:pPr>
        <w:pStyle w:val="FirstParagraph"/>
      </w:pPr>
      <w:r>
        <w:t xml:space="preserve">It is convenient to consider "chargeabilty" as an independent physical property but</w:t>
      </w:r>
      <w:r>
        <w:t xml:space="preserve"> </w:t>
      </w:r>
      <w:r>
        <w:t xml:space="preserve">in reality it is an integral component of the electrical conductivity. It describes</w:t>
      </w:r>
      <w:r>
        <w:t xml:space="preserve"> </w:t>
      </w:r>
      <w:r>
        <w:t xml:space="preserve">how the conductivity changes with frequency. If</w:t>
      </w:r>
      <w:r>
        <w:t xml:space="preserve"> </w:t>
      </w:r>
      <m:oMath>
        <m:sSub>
          <m:e>
            <m:r>
              <m:t>σ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denotes the conductivity</w:t>
      </w:r>
      <w:r>
        <w:t xml:space="preserve"> </w:t>
      </w:r>
      <w:r>
        <w:t xml:space="preserve">at zero frequency and if</w:t>
      </w:r>
      <w:r>
        <w:t xml:space="preserve"> </w:t>
      </w:r>
      <m:oMath>
        <m:sSub>
          <m:e>
            <m:r>
              <m:t>σ</m:t>
            </m:r>
          </m:e>
          <m:sub>
            <m:r>
              <m:rPr>
                <m:sty m:val="p"/>
              </m:rPr>
              <m:t>∞</m:t>
            </m:r>
          </m:sub>
        </m:sSub>
      </m:oMath>
      <w:r>
        <w:t xml:space="preserve"> </w:t>
      </w:r>
      <w:r>
        <w:t xml:space="preserve">is the conductivity at infinite frequency</w:t>
      </w:r>
      <w:r>
        <w:t xml:space="preserve"> </w:t>
      </w:r>
      <w:r>
        <w:t xml:space="preserve">then the chargeability is</w:t>
      </w:r>
    </w:p>
    <w:p>
      <w:pPr>
        <w:pStyle w:val="BodyText"/>
      </w:pPr>
      <m:oMathPara>
        <m:oMathParaPr>
          <m:jc m:val="center"/>
        </m:oMathParaPr>
        <m:oMath>
          <m:r>
            <m:t>η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σ</m:t>
                  </m:r>
                </m:e>
                <m:sub>
                  <m:r>
                    <m:rPr>
                      <m:sty m:val="p"/>
                    </m:rPr>
                    <m:t>∞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σ</m:t>
                  </m:r>
                </m:e>
                <m:sub>
                  <m:r>
                    <m:t>0</m:t>
                  </m:r>
                </m:sub>
              </m:sSub>
            </m:num>
            <m:den>
              <m:sSub>
                <m:e>
                  <m:r>
                    <m:t>σ</m:t>
                  </m:r>
                </m:e>
                <m:sub>
                  <m:r>
                    <m:rPr>
                      <m:sty m:val="p"/>
                    </m:rPr>
                    <m:t>∞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This is a dimensionless number varying between 0 &lt;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&lt; 1. It is</w:t>
      </w:r>
      <w:r>
        <w:t xml:space="preserve"> </w:t>
      </w:r>
      <w:r>
        <w:t xml:space="preserve">often referred to as the intrinsic chargeability. The above definition</w:t>
      </w:r>
      <w:r>
        <w:t xml:space="preserve"> </w:t>
      </w:r>
      <w:r>
        <w:t xml:space="preserve">is equivalent to defining the</w:t>
      </w:r>
      <w:r>
        <w:t xml:space="preserve"> </w:t>
      </w:r>
      <w:r>
        <w:t xml:space="preserve">intrinsic chargeability as the ratio between the amplitude of the over-voltage (</w:t>
      </w:r>
      <m:oMath>
        <m:sSub>
          <m:e>
            <m:r>
              <m:t>V</m:t>
            </m:r>
          </m:e>
          <m:sub>
            <m:r>
              <m:t>s</m:t>
            </m:r>
          </m:sub>
        </m:sSub>
      </m:oMath>
      <w:r>
        <w:t xml:space="preserve">)</w:t>
      </w:r>
      <w:r>
        <w:t xml:space="preserve"> </w:t>
      </w:r>
      <w:r>
        <w:t xml:space="preserve">and the DC voltage (</w:t>
      </w:r>
      <m:oMath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η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t>s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t>m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The intrinsic chargeability for materials is rarely provided in tables. Rather, numbers</w:t>
      </w:r>
      <w:r>
        <w:t xml:space="preserve"> </w:t>
      </w:r>
      <w:r>
        <w:t xml:space="preserve">based upon laboratory measurements of some characteristic of the induced polarization</w:t>
      </w:r>
      <w:r>
        <w:t xml:space="preserve"> </w:t>
      </w:r>
      <w:r>
        <w:t xml:space="preserve">response is provided. Those measurements can be in time or frequency and the units</w:t>
      </w:r>
      <w:r>
        <w:t xml:space="preserve"> </w:t>
      </w:r>
      <w:r>
        <w:t xml:space="preserve">of the "chargeability" are inherited from the data. We outline below:</w:t>
      </w:r>
    </w:p>
    <w:bookmarkEnd w:id="20"/>
    <w:bookmarkEnd w:id="21"/>
    <w:bookmarkStart w:id="22" w:name="two-types-of-time-domain-data"/>
    <w:p>
      <w:pPr>
        <w:pStyle w:val="Heading1"/>
      </w:pPr>
      <w:r>
        <w:t xml:space="preserve">Two types of time domain data</w:t>
      </w:r>
    </w:p>
    <w:p>
      <w:pPr>
        <w:numPr>
          <w:ilvl w:val="0"/>
          <w:numId w:val="1001"/>
        </w:numPr>
      </w:pPr>
      <w:r>
        <w:t xml:space="preserve">The following is a definition of chargeability but it is not possible to</w:t>
      </w:r>
      <w:r>
        <w:t xml:space="preserve"> </w:t>
      </w:r>
      <w:r>
        <w:t xml:space="preserve">measure it exactly in the field. The figure to the right shows voltage</w:t>
      </w:r>
      <w:r>
        <w:t xml:space="preserve"> </w:t>
      </w:r>
      <w:r>
        <w:t xml:space="preserve">measured when the transmitter is first turned on and then turned off some time</w:t>
      </w:r>
      <w:r>
        <w:t xml:space="preserve"> </w:t>
      </w:r>
      <w:r>
        <w:t xml:space="preserve">later. Using parameters from this figure, one definition of chargeability 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S</m:t>
            </m:r>
          </m:sub>
        </m:sSub>
        <m:r>
          <m:rPr>
            <m:sty m:val="p"/>
          </m:rPr>
          <m:t>/</m:t>
        </m:r>
        <m:sSub>
          <m:e>
            <m:r>
              <m:t>V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V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are the steady state and</w:t>
      </w:r>
      <w:r>
        <w:t xml:space="preserve"> </w:t>
      </w:r>
      <w:r>
        <w:t xml:space="preserve">"secondary" potentials, respectively.</w:t>
      </w:r>
    </w:p>
    <w:p>
      <w:pPr>
        <w:pStyle w:val="Compact"/>
        <w:numPr>
          <w:ilvl w:val="1"/>
          <w:numId w:val="1002"/>
        </w:numPr>
      </w:pPr>
      <w:r>
        <w:t xml:space="preserve">The leading edge potential</w:t>
      </w:r>
      <w:r>
        <w:t xml:space="preserve"> </w:t>
      </w:r>
      <m:oMath>
        <m:sSub>
          <m:e>
            <m:r>
              <m:t>V</m:t>
            </m:r>
          </m:e>
          <m:sub>
            <m:r>
              <m:t>σ</m:t>
            </m:r>
          </m:sub>
        </m:sSub>
      </m:oMath>
      <w:r>
        <w:t xml:space="preserve"> </w:t>
      </w:r>
      <w:r>
        <w:t xml:space="preserve">is what would be measured in</w:t>
      </w:r>
      <w:r>
        <w:t xml:space="preserve"> </w:t>
      </w:r>
      <w:r>
        <w:t xml:space="preserve">the absence of chargeability. This potential would yield the ground's</w:t>
      </w:r>
      <w:r>
        <w:t xml:space="preserve"> </w:t>
      </w:r>
      <w:r>
        <w:t xml:space="preserve">resistivity.</w:t>
      </w:r>
    </w:p>
    <w:p>
      <w:pPr>
        <w:pStyle w:val="Compact"/>
        <w:numPr>
          <w:ilvl w:val="1"/>
          <w:numId w:val="1002"/>
        </w:numPr>
      </w:pPr>
      <w:r>
        <w:t xml:space="preserve">The steady state,</w:t>
      </w:r>
      <w:r>
        <w:t xml:space="preserve"> </w:t>
      </w:r>
      <m:oMath>
        <m:sSub>
          <m:e>
            <m:r>
              <m:t>V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(with a subscript</w:t>
      </w:r>
      <w:r>
        <w:t xml:space="preserve"> </w:t>
      </w:r>
      <w:r>
        <w:rPr>
          <w:i/>
          <w:iCs/>
        </w:rPr>
        <w:t xml:space="preserve">m</w:t>
      </w:r>
      <w:r>
        <w:t xml:space="preserve"> </w:t>
      </w:r>
      <w:r>
        <w:t xml:space="preserve">in the figure above),</w:t>
      </w:r>
      <w:r>
        <w:t xml:space="preserve"> </w:t>
      </w:r>
      <w:r>
        <w:t xml:space="preserve">often referred to as the primary potential, is the combined effect of</w:t>
      </w:r>
      <w:r>
        <w:t xml:space="preserve"> </w:t>
      </w:r>
      <w:r>
        <w:t xml:space="preserve">current flowing in the ground and charges built up under the influence of</w:t>
      </w:r>
      <w:r>
        <w:t xml:space="preserve"> </w:t>
      </w:r>
      <w:r>
        <w:t xml:space="preserve">the imposed electric field.</w:t>
      </w:r>
    </w:p>
    <w:p>
      <w:pPr>
        <w:pStyle w:val="Compact"/>
        <w:numPr>
          <w:ilvl w:val="1"/>
          <w:numId w:val="1002"/>
        </w:numPr>
      </w:pPr>
      <w:r>
        <w:t xml:space="preserve">The secondary potential is entirely due to the charge imbalance resulting</w:t>
      </w:r>
      <w:r>
        <w:t xml:space="preserve"> </w:t>
      </w:r>
      <w:r>
        <w:t xml:space="preserve">from the build-up of charge.</w:t>
      </w:r>
    </w:p>
    <w:p>
      <w:pPr>
        <w:pStyle w:val="Compact"/>
        <w:numPr>
          <w:ilvl w:val="1"/>
          <w:numId w:val="1002"/>
        </w:numPr>
      </w:pPr>
      <w:r>
        <w:t xml:space="preserve">Using this form, chargeability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will be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&lt;</m:t>
        </m:r>
        <m:r>
          <m:t>1</m:t>
        </m:r>
      </m:oMath>
      <w:r>
        <w:t xml:space="preserve">. If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the measured potential will follow the input current waveform exactly</w:t>
      </w:r>
      <w:r>
        <w:t xml:space="preserve"> </w:t>
      </w:r>
      <w:r>
        <w:t xml:space="preserve">with no charging or discharging involved, as shown in the first column of</w:t>
      </w:r>
      <w:r>
        <w:t xml:space="preserve"> </w:t>
      </w:r>
      <w:r>
        <w:t xml:space="preserve">the figure above.</w:t>
      </w:r>
    </w:p>
    <w:p>
      <w:pPr>
        <w:numPr>
          <w:ilvl w:val="0"/>
          <w:numId w:val="1001"/>
        </w:numPr>
      </w:pPr>
      <w:r>
        <w:t xml:space="preserve">The most commonly measured form of time domain IP is the normalized area</w:t>
      </w:r>
      <w:r>
        <w:t xml:space="preserve"> </w:t>
      </w:r>
      <w:r>
        <w:t xml:space="preserve">under the decay curve. It can be represented by the following equation, using</w:t>
      </w:r>
      <w:r>
        <w:t xml:space="preserve"> </w:t>
      </w:r>
      <w:r>
        <w:t xml:space="preserve">parameters specified in the adjacent figure. The decaying potential that</w:t>
      </w:r>
      <w:r>
        <w:t xml:space="preserve"> </w:t>
      </w:r>
      <w:r>
        <w:t xml:space="preserve">follows</w:t>
      </w:r>
      <w:r>
        <w:t xml:space="preserve"> </w:t>
      </w:r>
      <m:oMath>
        <m:sSub>
          <m:e>
            <m:r>
              <m:t>V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written as</w:t>
      </w:r>
      <w:r>
        <w:t xml:space="preserve"> </w:t>
      </w:r>
      <m:oMath>
        <m:sSub>
          <m:e>
            <m:r>
              <m:t>V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Chargeability,</w:t>
      </w:r>
      <w:r>
        <w:t xml:space="preserve"> </w:t>
      </w:r>
      <m:oMath>
        <m:r>
          <m:t>M</m:t>
        </m:r>
      </m:oMath>
      <w:r>
        <w:t xml:space="preserve">, is essentially the red area under the decay curve,</w:t>
      </w:r>
      <w:r>
        <w:t xml:space="preserve"> </w:t>
      </w:r>
      <w:r>
        <w:t xml:space="preserve">normalized by the source voltage.</w:t>
      </w:r>
    </w:p>
    <w:p>
      <w:pPr>
        <w:pStyle w:val="Block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V</m:t>
                  </m:r>
                </m:e>
                <m:sub>
                  <m:r>
                    <m:t>P</m:t>
                  </m:r>
                </m:sub>
              </m:sSub>
            </m:den>
          </m:f>
          <m:r>
            <m:rPr>
              <m:sty m:val="p"/>
            </m:rPr>
            <m:t>∫</m:t>
          </m:r>
          <m:r>
            <m:t>​</m:t>
          </m:r>
          <m:sSub>
            <m:e>
              <m:r>
                <m:t>V</m:t>
              </m:r>
            </m:e>
            <m:sub>
              <m:r>
                <m:t>S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t</m:t>
          </m:r>
        </m:oMath>
      </m:oMathPara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../induced_polarization/images/source_and_measured_V.gif</w:t>
            </w:r>
          </w:p>
        </w:tc>
      </w:tr>
    </w:tbl>
    <w:p>
      <w:pPr>
        <w:pStyle w:val="BodyText"/>
      </w:pPr>
      <w:r>
        <w:rPr>
          <w:b/>
          <w:bCs/>
        </w:rPr>
        <w:t xml:space="preserve">Integrated Chargeability</w:t>
      </w:r>
    </w:p>
    <w:p>
      <w:pPr>
        <w:pStyle w:val="BodyText"/>
      </w:pPr>
      <w:r>
        <w:t xml:space="preserve">The integrated chargeability (</w:t>
      </w:r>
      <m:oMath>
        <m:r>
          <m:t>M</m:t>
        </m:r>
      </m:oMath>
      <w:r>
        <w:t xml:space="preserve">) characterizes the quantity of potential energy stored within a chargeable rock due to the accumulation of ionic charges.</w:t>
      </w:r>
      <w:r>
        <w:t xml:space="preserve"> </w:t>
      </w:r>
      <w:r>
        <w:t xml:space="preserve">The integrated chargeability is defined as the area under the discharge curve normalized by the DC voltage (</w:t>
      </w:r>
      <m:oMath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V</m:t>
                  </m:r>
                </m:e>
                <m:sub>
                  <m:r>
                    <m:t>m</m:t>
                  </m:r>
                </m:sub>
              </m:sSub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sub>
            <m:sup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sup>
            <m:e>
              <m:sSub>
                <m:e>
                  <m:r>
                    <m:t>V</m:t>
                  </m:r>
                </m:e>
                <m:sub>
                  <m:r>
                    <m:t>o</m:t>
                  </m:r>
                  <m:r>
                    <m:t>f</m:t>
                  </m:r>
                  <m:r>
                    <m:t>f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t> </m:t>
          </m:r>
          <m:r>
            <m:t>d</m:t>
          </m:r>
          <m:r>
            <m:t>t</m:t>
          </m:r>
        </m:oMath>
      </m:oMathPara>
    </w:p>
    <w:p>
      <w:pPr>
        <w:pStyle w:val="FirstParagraph"/>
      </w:pPr>
      <w:r>
        <w:t xml:space="preserve">Numerical values for the integrated chargeability are typically given in ms.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images/electrode_conductivity_measurements.png</w:t>
            </w:r>
          </w:p>
        </w:tc>
      </w:tr>
    </w:tbl>
    <w:bookmarkEnd w:id="22"/>
    <w:bookmarkStart w:id="23" w:name="two-types-of-frequency-domain-data"/>
    <w:p>
      <w:pPr>
        <w:pStyle w:val="Heading1"/>
      </w:pPr>
      <w:r>
        <w:t xml:space="preserve">Two types of frequency domain data</w:t>
      </w:r>
    </w:p>
    <w:p>
      <w:pPr>
        <w:pStyle w:val="FirstParagraph"/>
      </w:pPr>
      <w:r>
        <w:t xml:space="preserve">An oscillating source current can be employed to observe chargeability. The</w:t>
      </w:r>
      <w:r>
        <w:t xml:space="preserve"> </w:t>
      </w:r>
      <w:r>
        <w:t xml:space="preserve">measurements are often still referred to as "DC resistivity" because the</w:t>
      </w:r>
      <w:r>
        <w:t xml:space="preserve"> </w:t>
      </w:r>
      <w:r>
        <w:t xml:space="preserve">frequencies are relatively low. The resulting data will include (i) a "DC</w:t>
      </w:r>
      <w:r>
        <w:t xml:space="preserve"> </w:t>
      </w:r>
      <w:r>
        <w:t xml:space="preserve">resistivity" based upon the voltages measured with the lowest source</w:t>
      </w:r>
      <w:r>
        <w:t xml:space="preserve"> </w:t>
      </w:r>
      <w:r>
        <w:t xml:space="preserve">frequency, and (ii) a chargeability based upon the measurements explained</w:t>
      </w:r>
      <w:r>
        <w:t xml:space="preserve"> </w:t>
      </w:r>
      <w:r>
        <w:t xml:space="preserve">next. Two methods of measuring chargeability in the frequency domain are</w:t>
      </w:r>
      <w:r>
        <w:t xml:space="preserve"> </w:t>
      </w:r>
      <w:r>
        <w:t xml:space="preserve">described below.</w:t>
      </w:r>
    </w:p>
    <w:p>
      <w:pPr>
        <w:pStyle w:val="Compact"/>
        <w:numPr>
          <w:ilvl w:val="0"/>
          <w:numId w:val="1003"/>
        </w:numPr>
      </w:pPr>
      <w:r>
        <w:t xml:space="preserve">If the amplitude of the potential is measured at two frequencies, a measure</w:t>
      </w:r>
      <w:r>
        <w:t xml:space="preserve"> </w:t>
      </w:r>
      <w:r>
        <w:t xml:space="preserve">of chargeability is acquired, and it can be expressed as units of "*percent</w:t>
      </w:r>
      <w:r>
        <w:t xml:space="preserve"> </w:t>
      </w:r>
      <w:r>
        <w:t xml:space="preserve">frequency effect*" or PFE. Since the ground has less time to respond at higher</w:t>
      </w:r>
      <w:r>
        <w:t xml:space="preserve"> </w:t>
      </w:r>
      <w:r>
        <w:t xml:space="preserve">frequencies, the signal is expected to be smaller at the higher frequency.</w:t>
      </w:r>
      <w:r>
        <w:t xml:space="preserve"> </w:t>
      </w:r>
      <w:r>
        <w:t xml:space="preserve">Expressions for PFE are shown in the equations below. The data used in this</w:t>
      </w:r>
      <w:r>
        <w:t xml:space="preserve"> </w:t>
      </w:r>
      <w:r>
        <w:t xml:space="preserve">calculation are illustrated in the figure below. Recall that</w:t>
      </w:r>
      <w:r>
        <w:t xml:space="preserve"> </w:t>
      </w:r>
      <m:oMath>
        <m:sSub>
          <m:e>
            <m:r>
              <m:t>ρ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∣</m:t>
        </m:r>
        <m:r>
          <m:t>V</m:t>
        </m:r>
        <m:r>
          <m:rPr>
            <m:sty m:val="p"/>
          </m:rPr>
          <m:t>∣</m:t>
        </m:r>
        <m:r>
          <m:rPr>
            <m:sty m:val="p"/>
          </m:rPr>
          <m:t>/</m:t>
        </m:r>
        <m:r>
          <m:t>I</m:t>
        </m:r>
      </m:oMath>
      <w:r>
        <w:t xml:space="preserve"> </w:t>
      </w:r>
      <w:r>
        <w:t xml:space="preserve">, where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geometric factor based upon</w:t>
      </w:r>
      <w:r>
        <w:t xml:space="preserve"> </w:t>
      </w:r>
      <w:r>
        <w:t xml:space="preserve">electrode geometry (see the Geophysical surveys chapter, "DC resistivity"</w:t>
      </w:r>
      <w:r>
        <w:t xml:space="preserve"> </w:t>
      </w:r>
      <w:r>
        <w:t xml:space="preserve">section),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the measured potential, and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source</w:t>
      </w:r>
      <w:r>
        <w:t xml:space="preserve"> </w:t>
      </w:r>
      <w:r>
        <w:t xml:space="preserve">current.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../induced_polarization/images/PFE.gif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F</m:t>
          </m:r>
          <m:r>
            <m:t>E</m:t>
          </m:r>
          <m:r>
            <m:rPr>
              <m:sty m:val="p"/>
            </m:rPr>
            <m:t>=</m:t>
          </m:r>
          <m:r>
            <m:t>100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ρ</m:t>
                      </m:r>
                    </m:e>
                    <m:sub>
                      <m:r>
                        <m:t>a</m:t>
                      </m:r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ρ</m:t>
                      </m:r>
                    </m:e>
                    <m:sub>
                      <m:r>
                        <m:t>a</m:t>
                      </m:r>
                      <m:r>
                        <m:t>2</m:t>
                      </m:r>
                    </m:sub>
                  </m:sSub>
                </m:num>
                <m:den>
                  <m:sSub>
                    <m:e>
                      <m:r>
                        <m:t>ρ</m:t>
                      </m:r>
                    </m:e>
                    <m:sub>
                      <m:r>
                        <m:t>a</m:t>
                      </m:r>
                      <m:r>
                        <m:t>2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Alternatively: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num>
            <m:den>
              <m: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If the voltage version is used, the Frequency Effect (FE) can easily be</w:t>
      </w:r>
      <w:r>
        <w:t xml:space="preserve"> </w:t>
      </w:r>
      <w:r>
        <w:t xml:space="preserve">converted to a percent frequency effect by multiplying by 100.</w:t>
      </w:r>
    </w:p>
    <w:p>
      <w:pPr>
        <w:pStyle w:val="Compact"/>
        <w:numPr>
          <w:ilvl w:val="0"/>
          <w:numId w:val="1004"/>
        </w:numPr>
      </w:pPr>
      <w:r>
        <w:t xml:space="preserve">Data with units of phase are gathered by transmitting a sinusoidal source</w:t>
      </w:r>
      <w:r>
        <w:t xml:space="preserve"> </w:t>
      </w:r>
      <w:r>
        <w:t xml:space="preserve">current. Then the phase difference between this source and measured potentials</w:t>
      </w:r>
      <w:r>
        <w:t xml:space="preserve"> </w:t>
      </w:r>
      <w:r>
        <w:t xml:space="preserve">is recorded as a measure of chargeability. Units are usually milliradians. The</w:t>
      </w:r>
      <w:r>
        <w:t xml:space="preserve"> </w:t>
      </w:r>
      <w:r>
        <w:t xml:space="preserve">following figure illustrates: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../induced_polarization/images/sinusoids.gif</w:t>
            </w:r>
          </w:p>
        </w:tc>
      </w:tr>
    </w:tbl>
    <w:bookmarkEnd w:id="23"/>
    <w:bookmarkStart w:id="27" w:name="relating-the-four-types-of-data"/>
    <w:p>
      <w:pPr>
        <w:pStyle w:val="Heading1"/>
      </w:pPr>
      <w:r>
        <w:t xml:space="preserve">Relating the four types of data</w:t>
      </w:r>
    </w:p>
    <w:p>
      <w:pPr>
        <w:pStyle w:val="FirstParagraph"/>
      </w:pPr>
      <w:r>
        <w:t xml:space="preserve">The different IP responses all result from the build up of polarizing charges,</w:t>
      </w:r>
      <w:r>
        <w:t xml:space="preserve"> </w:t>
      </w:r>
      <w:r>
        <w:t xml:space="preserve">but they do not produce the same numbers. In fact, the units of the various</w:t>
      </w:r>
      <w:r>
        <w:t xml:space="preserve"> </w:t>
      </w:r>
      <w:r>
        <w:t xml:space="preserve">measurements are different. Nevertheless, the following approximate rule of</w:t>
      </w:r>
      <w:r>
        <w:t xml:space="preserve"> </w:t>
      </w:r>
      <w:r>
        <w:t xml:space="preserve">thumb allows conversion between the different data sets:</w:t>
      </w:r>
    </w:p>
    <w:tbl>
      <w:tblPr>
        <w:tblStyle w:val="Table"/>
        <w:tblW w:type="pct" w:w="2708"/>
        <w:tblLayout w:type="fixed"/>
        <w:tblLook w:firstRow="1" w:lastRow="0" w:firstColumn="0" w:lastColumn="0" w:noHBand="0" w:noVBand="0" w:val="0020"/>
      </w:tblPr>
      <w:tblGrid>
        <w:gridCol w:w="1430"/>
        <w:gridCol w:w="1430"/>
        <w:gridCol w:w="1430"/>
      </w:tblGrid>
      <w:tr>
        <w:trPr>
          <w:tblHeader w:val="on"/>
        </w:trPr>
        <w:tc>
          <w:tcPr>
            <w:gridSpan w:val="3"/>
          </w:tcPr>
          <w:p>
            <w:pPr>
              <w:pStyle w:val="Compact"/>
            </w:pPr>
            <w:r>
              <w:t xml:space="preserve">A chargeability of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0.1</m:t>
              </m:r>
            </m:oMath>
            <w:r>
              <w:t xml:space="preserve"> </w:t>
            </w:r>
            <w:r>
              <w:t xml:space="preserve">is</w:t>
            </w:r>
          </w:p>
        </w:tc>
      </w:tr>
      <w:tr>
        <w:tc>
          <w:tcPr>
            <w:gridSpan w:val="3"/>
          </w:tcPr>
          <w:p>
            <w:pPr>
              <w:pStyle w:val="BlockText"/>
            </w:pPr>
            <w:r>
              <w:t xml:space="preserve">10 PFE</w:t>
            </w:r>
          </w:p>
        </w:tc>
      </w:tr>
      <w:tr>
        <w:tc>
          <w:tcPr>
            <w:gridSpan w:val="3"/>
          </w:tcPr>
          <w:p>
            <w:pPr>
              <w:pStyle w:val="BlockText"/>
            </w:pPr>
            <w:r>
              <w:t xml:space="preserve">70 mrad</w:t>
            </w:r>
          </w:p>
        </w:tc>
      </w:tr>
      <w:tr>
        <w:tc>
          <w:tcPr>
            <w:gridSpan w:val="3"/>
          </w:tcPr>
          <w:p>
            <w:pPr>
              <w:pStyle w:val="BlockText"/>
            </w:pPr>
            <w:r>
              <w:t xml:space="preserve">70 msec</w:t>
            </w:r>
          </w:p>
        </w:tc>
      </w:tr>
    </w:tbl>
    <w:bookmarkStart w:id="24" w:name="chargeability-measurements"/>
    <w:p>
      <w:pPr>
        <w:pStyle w:val="Heading2"/>
      </w:pPr>
      <w:r>
        <w:t xml:space="preserve">Chargeability Measurements</w:t>
      </w:r>
    </w:p>
    <w:p>
      <w:pPr>
        <w:pStyle w:val="FirstParagraph"/>
      </w:pPr>
      <w:r>
        <w:t xml:space="preserve">For integrated and intrinsic chargeability measurements, a core sample is taken from the rock.</w:t>
      </w:r>
      <w:r>
        <w:t xml:space="preserve"> </w:t>
      </w:r>
      <w:r>
        <w:t xml:space="preserve">The core sample is then placed in a sample holder between two copper/graphite electrodes where it acts as an impedence element for a circuit.</w:t>
      </w:r>
    </w:p>
    <w:p>
      <w:pPr>
        <w:pStyle w:val="BodyText"/>
      </w:pPr>
      <w:r>
        <w:rPr>
          <w:b/>
          <w:bCs/>
        </w:rPr>
        <w:t xml:space="preserve">Integrated Chargeability Measurements</w:t>
      </w:r>
    </w:p>
    <w:p>
      <w:pPr>
        <w:pStyle w:val="BodyText"/>
      </w:pPr>
      <w:r>
        <w:t xml:space="preserve">For integrated chargeability measurements, a source is used to drive direct current (</w:t>
      </w:r>
      <m:oMath>
        <m:r>
          <m:t>I</m:t>
        </m:r>
      </m:oMath>
      <w:r>
        <w:t xml:space="preserve">) through the rock core.</w:t>
      </w:r>
      <w:r>
        <w:t xml:space="preserve"> </w:t>
      </w:r>
      <w:r>
        <w:t xml:space="preserve">During the on-time, the voltage (</w:t>
      </w:r>
      <m:oMath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) is measured across the sample.</w:t>
      </w:r>
      <w:r>
        <w:t xml:space="preserve"> </w:t>
      </w:r>
      <w:r>
        <w:t xml:space="preserve">Next, the source is switched off.</w:t>
      </w:r>
      <w:r>
        <w:t xml:space="preserve"> </w:t>
      </w:r>
      <w:r>
        <w:t xml:space="preserve">During the off-time, the potential across the rock is measured as it decays.</w:t>
      </w:r>
      <w:r>
        <w:t xml:space="preserve"> </w:t>
      </w:r>
      <w:r>
        <w:t xml:space="preserve">The off-time measurements are used to define the discharge curve for the sample, which is then used to obtain the integrated chargeability according to: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V</m:t>
                  </m:r>
                </m:e>
                <m:sub>
                  <m:r>
                    <m:t>m</m:t>
                  </m:r>
                </m:sub>
              </m:sSub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sub>
            <m:sup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sup>
            <m:e>
              <m:sSub>
                <m:e>
                  <m:r>
                    <m:t>V</m:t>
                  </m:r>
                </m:e>
                <m:sub>
                  <m:r>
                    <m:t>o</m:t>
                  </m:r>
                  <m:r>
                    <m:t>f</m:t>
                  </m:r>
                  <m:r>
                    <m:t>f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t> </m:t>
          </m:r>
          <m:r>
            <m:t>d</m:t>
          </m:r>
          <m:r>
            <m:t>t</m:t>
          </m:r>
        </m:oMath>
      </m:oMathPara>
    </w:p>
    <w:p>
      <w:pPr>
        <w:pStyle w:val="FirstParagraph"/>
      </w:pPr>
      <w:r>
        <w:t xml:space="preserve">For practical measurements, we do not integrate over the entire discharge curve.</w:t>
      </w:r>
      <w:r>
        <w:t xml:space="preserve"> </w:t>
      </w:r>
      <w:r>
        <w:t xml:space="preserve">Instead, a finite interval of integration is chosen.</w:t>
      </w:r>
      <w:r>
        <w:t xml:space="preserve"> </w:t>
      </w:r>
      <w:r>
        <w:t xml:space="preserve">For example, the Newmont standard chargeability integrates from t = 0.15 s to 1.1 s.</w:t>
      </w:r>
    </w:p>
    <w:p>
      <w:pPr>
        <w:pStyle w:val="BodyText"/>
      </w:pPr>
      <w:r>
        <w:rPr>
          <w:b/>
          <w:bCs/>
        </w:rPr>
        <w:t xml:space="preserve">Intrinsic Chargeability Measurements</w:t>
      </w:r>
    </w:p>
    <w:p>
      <w:pPr>
        <w:pStyle w:val="BodyText"/>
      </w:pPr>
      <w:r>
        <w:t xml:space="preserve">Intrinsic chargeability measurements are very similar to conductivity/resistivity measurements.</w:t>
      </w:r>
      <w:r>
        <w:t xml:space="preserve"> </w:t>
      </w:r>
      <w:r>
        <w:t xml:space="preserve">In this case, the source is used to drive alternating current (</w:t>
      </w:r>
      <m:oMath>
        <m:r>
          <m:t>I</m:t>
        </m:r>
      </m:oMath>
      <w:r>
        <w:t xml:space="preserve">) through the core sample.</w:t>
      </w:r>
      <w:r>
        <w:t xml:space="preserve"> </w:t>
      </w:r>
      <w:r>
        <w:t xml:space="preserve">By measuring the voltage drop (</w:t>
      </w:r>
      <m:oMath>
        <m:r>
          <m:t>Δ</m:t>
        </m:r>
        <m:r>
          <m:t>V</m:t>
        </m:r>
      </m:oMath>
      <w:r>
        <w:t xml:space="preserve">) accross the length of the sample, Ohm's law can be used to determine the circuit impedence (</w:t>
      </w:r>
      <m:oMath>
        <m:r>
          <m:t>Z</m:t>
        </m:r>
      </m:oMath>
      <w:r>
        <w:t xml:space="preserve">) caused by the rock: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ω</m:t>
                  </m:r>
                </m:e>
              </m:d>
            </m:num>
            <m:den>
              <m:r>
                <m:t>I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ω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In chargeable rocks, the measured voltage drop depends on the frequency of the alternating current.</w:t>
      </w:r>
      <w:r>
        <w:t xml:space="preserve"> </w:t>
      </w:r>
      <w:r>
        <w:t xml:space="preserve">So in order to characterize the resistive properties of the rock, we need to determine the impedence over a spectrum of frequencies.</w:t>
      </w:r>
    </w:p>
    <w:p>
      <w:pPr>
        <w:pStyle w:val="BodyText"/>
      </w:pPr>
      <w:r>
        <w:t xml:space="preserve">The resistivity of the sample at each frequency can be obtained from the impedence, the length of the core (</w:t>
      </w:r>
      <m:oMath>
        <m:r>
          <m:t>L</m:t>
        </m:r>
      </m:oMath>
      <w:r>
        <w:t xml:space="preserve">) and its cross-sectional area (</w:t>
      </w:r>
      <m:oMath>
        <m:r>
          <m:t>A</m:t>
        </m:r>
      </m:oMath>
      <w:r>
        <w:t xml:space="preserve">) using Pouillet's law: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Z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ω</m:t>
                  </m:r>
                </m:e>
              </m:d>
              <m:r>
                <m:t>A</m:t>
              </m:r>
            </m:num>
            <m:den>
              <m:r>
                <m:t>L</m:t>
              </m:r>
            </m:den>
          </m:f>
        </m:oMath>
      </m:oMathPara>
    </w:p>
    <w:p>
      <w:pPr>
        <w:pStyle w:val="FirstParagraph"/>
      </w:pPr>
      <w:r>
        <w:t xml:space="preserve">In order to characterize the rock's chargeable properties, we fit the experimentally acquired resistivity values to a mathematical model (illstrated below).</w:t>
      </w:r>
      <w:r>
        <w:t xml:space="preserve"> </w:t>
      </w:r>
      <w:r>
        <w:t xml:space="preserve">A well-established model for explaining the resistivities of chargeable rocks is the Cole-Cole model: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sSub>
            <m:e>
              <m:r>
                <m:t>ρ</m:t>
              </m:r>
            </m:e>
            <m:sub>
              <m:r>
                <m:t>0</m:t>
              </m:r>
            </m:sub>
          </m:sSub>
          <m:d>
            <m:dPr>
              <m:begChr m:val="["/>
              <m:sepChr m:val=""/>
              <m:endChr m:val="]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η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d>
                            <m:dPr>
                              <m:begChr m:val="("/>
                              <m:sepChr m:val=""/>
                              <m:endChr m:val=")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t>ω</m:t>
                              </m:r>
                              <m:r>
                                <m:t>τ</m:t>
                              </m:r>
                            </m:e>
                          </m:d>
                        </m:e>
                        <m:sup>
                          <m:r>
                            <m:t>C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ρ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DC resistivity and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the intrinsic chargeability.</w:t>
      </w:r>
      <w:r>
        <w:t xml:space="preserve"> </w:t>
      </w:r>
      <w:r>
        <w:t xml:space="preserve">Parameters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define the rate at which ionic charges accumulate when an electric field is applied.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images/electrode_chargeability_curve_fit.png</w:t>
            </w:r>
          </w:p>
        </w:tc>
      </w:tr>
    </w:tbl>
    <w:p>
      <w:pPr>
        <w:pStyle w:val="BodyText"/>
      </w:pPr>
      <w:r>
        <w:t xml:space="preserve">Assuming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defines the exponential decay in voltage during the off-time measurements (see earlier).</w:t>
      </w:r>
      <w:r>
        <w:t xml:space="preserve"> </w:t>
      </w:r>
      <w:r>
        <w:t xml:space="preserve">The conductivity of the rock can be obtained by taking the reciprocal of the complex resistivity: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ρ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ω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Additionally, Ohm's law still applies for chargeable rocks.</w:t>
      </w:r>
      <w:r>
        <w:t xml:space="preserve"> </w:t>
      </w:r>
      <w:r>
        <w:t xml:space="preserve">Thus: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J</m:t>
              </m:r>
            </m:e>
          </m:acc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acc>
            <m:accPr>
              <m:chr m:val="⃗"/>
            </m:accPr>
            <m:e>
              <m:r>
                <m:t>E</m:t>
              </m:r>
            </m:e>
          </m:acc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</m:oMath>
      </m:oMathPara>
    </w:p>
    <w:bookmarkEnd w:id="24"/>
    <w:bookmarkStart w:id="25" w:name="chargeabilities-of-common-rocks"/>
    <w:p>
      <w:pPr>
        <w:pStyle w:val="Heading2"/>
      </w:pPr>
      <w:r>
        <w:t xml:space="preserve">Chargeabilities of Common Rocks</w:t>
      </w:r>
    </w:p>
    <w:p>
      <w:pPr>
        <w:pStyle w:val="FirstParagraph"/>
      </w:pPr>
      <w:r>
        <w:t xml:space="preserve">Tables (from Telford et al, 1976) provide a very general guide to the</w:t>
      </w:r>
      <w:r>
        <w:t xml:space="preserve"> </w:t>
      </w:r>
      <w:r>
        <w:t xml:space="preserve">integrated chargeabilities of materials. Because different intervals of</w:t>
      </w:r>
      <w:r>
        <w:t xml:space="preserve"> </w:t>
      </w:r>
      <w:r>
        <w:t xml:space="preserve">integration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are used for each table, chargeability values</w:t>
      </w:r>
      <w:r>
        <w:t xml:space="preserve"> </w:t>
      </w:r>
      <w:r>
        <w:t xml:space="preserve">cannot be compared between tables. However, we can infer several things from</w:t>
      </w:r>
      <w:r>
        <w:t xml:space="preserve"> </w:t>
      </w:r>
      <w:r>
        <w:t xml:space="preserve">these tables:</w:t>
      </w:r>
    </w:p>
    <w:p>
      <w:pPr>
        <w:pStyle w:val="Compact"/>
        <w:numPr>
          <w:ilvl w:val="0"/>
          <w:numId w:val="1005"/>
        </w:numPr>
      </w:pPr>
      <w:r>
        <w:t xml:space="preserve">The individual properties of rocks results in a variation in chargeability (click</w:t>
      </w:r>
      <w:r>
        <w:t xml:space="preserve"> </w:t>
      </w:r>
      <w:r>
        <w:rPr>
          <w:rStyle w:val="VerbatimChar"/>
        </w:rPr>
        <w:t xml:space="preserve">here&lt;table_chargeability_rocks&gt;</w:t>
      </w:r>
      <w:r>
        <w:t xml:space="preserve"> </w:t>
      </w:r>
      <w:r>
        <w:t xml:space="preserve">for table).</w:t>
      </w:r>
    </w:p>
    <w:p>
      <w:pPr>
        <w:pStyle w:val="Compact"/>
        <w:numPr>
          <w:ilvl w:val="0"/>
          <w:numId w:val="1005"/>
        </w:numPr>
      </w:pPr>
      <w:r>
        <w:t xml:space="preserve">Chargeability increases as the % abundance of sulphide minerals increases (click</w:t>
      </w:r>
      <w:r>
        <w:t xml:space="preserve"> </w:t>
      </w:r>
      <w:r>
        <w:rPr>
          <w:rStyle w:val="VerbatimChar"/>
        </w:rPr>
        <w:t xml:space="preserve">here&lt;table_chargeability_sulphide&gt;</w:t>
      </w:r>
      <w:r>
        <w:t xml:space="preserve"> </w:t>
      </w:r>
      <w:r>
        <w:t xml:space="preserve">for table).</w:t>
      </w:r>
    </w:p>
    <w:p>
      <w:pPr>
        <w:pStyle w:val="Compact"/>
        <w:numPr>
          <w:ilvl w:val="0"/>
          <w:numId w:val="1005"/>
        </w:numPr>
      </w:pPr>
      <w:r>
        <w:t xml:space="preserve">Highly porous rocks such as extrusive volcanics and sandstones are more chargeable than hard rocks such as granites and limestones (click</w:t>
      </w:r>
      <w:r>
        <w:t xml:space="preserve"> </w:t>
      </w:r>
      <w:r>
        <w:rPr>
          <w:rStyle w:val="VerbatimChar"/>
        </w:rPr>
        <w:t xml:space="preserve">here&lt;table_chargeability_sulphide&gt;</w:t>
      </w:r>
      <w:r>
        <w:t xml:space="preserve"> </w:t>
      </w:r>
      <w:r>
        <w:t xml:space="preserve">for table).</w:t>
      </w:r>
    </w:p>
    <w:p>
      <w:pPr>
        <w:pStyle w:val="Compact"/>
        <w:numPr>
          <w:ilvl w:val="0"/>
          <w:numId w:val="1005"/>
        </w:numPr>
      </w:pPr>
      <w:r>
        <w:t xml:space="preserve">The type of ore-mineralization impacts the chargeability of rocks to varying degrees (click</w:t>
      </w:r>
      <w:r>
        <w:t xml:space="preserve"> </w:t>
      </w:r>
      <w:r>
        <w:rPr>
          <w:rStyle w:val="VerbatimChar"/>
        </w:rPr>
        <w:t xml:space="preserve">here&lt;table_chargeability_minerals&gt;</w:t>
      </w:r>
      <w:r>
        <w:t xml:space="preserve"> </w:t>
      </w:r>
      <w:r>
        <w:t xml:space="preserve">for table).</w:t>
      </w:r>
    </w:p>
    <w:bookmarkEnd w:id="25"/>
    <w:bookmarkStart w:id="26" w:name="factors-impacting-chargeability"/>
    <w:p>
      <w:pPr>
        <w:pStyle w:val="Heading2"/>
      </w:pPr>
      <w:r>
        <w:t xml:space="preserve">Factors Impacting Chargeability</w:t>
      </w:r>
    </w:p>
    <w:p>
      <w:pPr>
        <w:pStyle w:val="FirstParagraph"/>
      </w:pPr>
      <w:r>
        <w:rPr>
          <w:b/>
          <w:bCs/>
        </w:rPr>
        <w:t xml:space="preserve">Sulphide Mineralization:</w:t>
      </w:r>
    </w:p>
    <w:p>
      <w:pPr>
        <w:pStyle w:val="BodyText"/>
      </w:pPr>
      <w:r>
        <w:t xml:space="preserve">As we discussed earlier, electrode polarization occurs when the pore path is blocked by metallic particles.</w:t>
      </w:r>
      <w:r>
        <w:t xml:space="preserve"> </w:t>
      </w:r>
      <w:r>
        <w:t xml:space="preserve">A major source of these metallic particles is sulphide mineralization.</w:t>
      </w:r>
      <w:r>
        <w:t xml:space="preserve"> </w:t>
      </w:r>
      <w:r>
        <w:t xml:space="preserve">As the abundance of sulphide minerals within a rock increases, so does the electrode polarization.</w:t>
      </w:r>
      <w:r>
        <w:t xml:space="preserve"> </w:t>
      </w:r>
      <w:r>
        <w:t xml:space="preserve">Therefore, highly mineralized rock tend to be very chargeable.</w:t>
      </w:r>
    </w:p>
    <w:p>
      <w:pPr>
        <w:pStyle w:val="BodyText"/>
      </w:pPr>
      <w:r>
        <w:rPr>
          <w:b/>
          <w:bCs/>
        </w:rPr>
        <w:t xml:space="preserve">Clays: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images/images_duplicates/memb_pol_2nd_type.gif</w:t>
            </w:r>
          </w:p>
        </w:tc>
      </w:tr>
    </w:tbl>
    <w:p>
      <w:pPr>
        <w:pStyle w:val="FirstParagraph"/>
      </w:pPr>
      <w:r>
        <w:t xml:space="preserve">Clays have a tendancy to partially block the path which ions take through the rock's pore water.</w:t>
      </w:r>
      <w:r>
        <w:t xml:space="preserve"> </w:t>
      </w:r>
      <w:r>
        <w:t xml:space="preserve">Upon application of an electric potential, positive charge carriers pass easily, while negative carriers accumulate.</w:t>
      </w:r>
      <w:r>
        <w:t xml:space="preserve"> </w:t>
      </w:r>
      <w:r>
        <w:t xml:space="preserve">This results in an "ion-selective" membrane polarization.</w:t>
      </w:r>
      <w:r>
        <w:t xml:space="preserve"> </w:t>
      </w:r>
      <w:r>
        <w:t xml:space="preserve">Clays represent a dominant source of induced polarization in unmineralized sedimentary rocks.</w:t>
      </w:r>
    </w:p>
    <w:p>
      <w:pPr>
        <w:pStyle w:val="BodyText"/>
      </w:pPr>
      <w:r>
        <w:t xml:space="preserve">A surplus of both cations and anions occurs at one end of the membrane, while a deficiency occurs at the other end.</w:t>
      </w:r>
      <w:r>
        <w:t xml:space="preserve"> </w:t>
      </w:r>
      <w:r>
        <w:t xml:space="preserve">The reduction of mobility is most obvious at frequencies slower than the diffusion time of ions between adjacent membrane zones; i.e. slower than around 0.1 Hz. Conductivity increases at higher frequencies.</w:t>
      </w:r>
    </w:p>
    <w:p>
      <w:pPr>
        <w:pStyle w:val="BodyText"/>
      </w:pPr>
      <w:r>
        <w:rPr>
          <w:b/>
          <w:bCs/>
        </w:rPr>
        <w:t xml:space="preserve">Pore-Water Salinity:</w:t>
      </w:r>
    </w:p>
    <w:p>
      <w:pPr>
        <w:pStyle w:val="BodyText"/>
      </w:pPr>
      <w:r>
        <w:t xml:space="preserve">The induced polarization within a rock depends on having a mechanism for accumulating ionic charges.</w:t>
      </w:r>
      <w:r>
        <w:t xml:space="preserve"> </w:t>
      </w:r>
      <w:r>
        <w:t xml:space="preserve">It also depends on the salinity of the pore water; i.e. the concentration of ions within the pore water.</w:t>
      </w:r>
      <w:r>
        <w:t xml:space="preserve"> </w:t>
      </w:r>
      <w:r>
        <w:t xml:space="preserve">As the pore-water salinity increases, so does the capacity of the rock to support a build-up of ionic charges.</w:t>
      </w:r>
      <w:r>
        <w:t xml:space="preserve"> </w:t>
      </w:r>
      <w:r>
        <w:t xml:space="preserve">This results in an increases chargeability for the rock.</w:t>
      </w:r>
    </w:p>
    <w:p>
      <w:pPr>
        <w:pStyle w:val="BodyText"/>
      </w:pPr>
      <w:r>
        <w:rPr>
          <w:b/>
          <w:bCs/>
        </w:rPr>
        <w:t xml:space="preserve">Tortuosity:</w:t>
      </w:r>
    </w:p>
    <w:p>
      <w:pPr>
        <w:pStyle w:val="BodyText"/>
      </w:pPr>
      <w:r>
        <w:t xml:space="preserve">Tortuosity defines the connectivity and complexity of a rock's pore-space network.</w:t>
      </w:r>
      <w:r>
        <w:t xml:space="preserve"> </w:t>
      </w:r>
      <w:r>
        <w:t xml:space="preserve">As the tortuosity of the rock's pore-space increases, it becomes more difficult for ionic charges to move through the rock.</w:t>
      </w:r>
      <w:r>
        <w:t xml:space="preserve"> </w:t>
      </w:r>
      <w:r>
        <w:t xml:space="preserve">As a result, and increases abundance of ionic charges will accumulate within the rock when it is subjected to an electric field.</w:t>
      </w:r>
      <w:r>
        <w:t xml:space="preserve"> </w:t>
      </w:r>
      <w:r>
        <w:t xml:space="preserve">Thus, the chargeability of a rock increases and its tortuosity increases.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Chargeability</dc:title>
  <dc:creator/>
  <cp:keywords/>
  <dcterms:created xsi:type="dcterms:W3CDTF">2025-01-16T09:29:14Z</dcterms:created>
  <dcterms:modified xsi:type="dcterms:W3CDTF">2025-01-16T09:29:14Z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