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Susceptibility</w:t>
      </w:r>
    </w:p>
    <w:p>
      <w:pPr>
        <w:pStyle w:val="FirstParagraph"/>
      </w:pPr>
      <w:r>
        <w:t xml:space="preserve">Magnetic susceptibility (</w:t>
      </w:r>
      <m:oMath>
        <m:r>
          <m:t>κ</m:t>
        </m:r>
      </m:oMath>
      <w:r>
        <w:t xml:space="preserve">) quantifies the magnetization (</w:t>
      </w:r>
      <m:oMath>
        <m:acc>
          <m:accPr>
            <m:chr m:val="⃗"/>
          </m:accPr>
          <m:e>
            <m:r>
              <m:t>M</m:t>
            </m:r>
          </m:e>
        </m:acc>
      </m:oMath>
      <w:r>
        <w:t xml:space="preserve">) a rock or mineral experiences when it is subjected to an applied magnetic field (</w:t>
      </w:r>
      <m:oMath>
        <m:acc>
          <m:accPr>
            <m:chr m:val="⃗"/>
          </m:accPr>
          <m:e>
            <m:r>
              <m:t>H</m:t>
            </m:r>
          </m:e>
        </m:acc>
      </m:oMath>
      <w:r>
        <w:t xml:space="preserve">). This relationship takes the form: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M</m:t>
              </m:r>
            </m:e>
          </m:acc>
          <m:r>
            <m:rPr>
              <m:sty m:val="p"/>
            </m:rPr>
            <m:t>=</m:t>
          </m:r>
          <m:r>
            <m:t>κ</m:t>
          </m:r>
          <m:acc>
            <m:accPr>
              <m:chr m:val="⃗"/>
            </m:accPr>
            <m:e>
              <m:r>
                <m:t>H</m:t>
              </m:r>
            </m:e>
          </m:acc>
        </m:oMath>
      </m:oMathPara>
    </w:p>
    <w:bookmarkStart w:id="20" w:name="physprop_magnetization"/>
    <w:p>
      <w:pPr>
        <w:pStyle w:val="FirstParagraph"/>
      </w:pPr>
      <w:r>
        <w:rPr>
          <w:b/>
          <w:bCs/>
        </w:rPr>
        <w:t xml:space="preserve">Magnetization</w:t>
      </w:r>
    </w:p>
    <w:bookmarkEnd w:id="20"/>
    <w:p>
      <w:pPr>
        <w:pStyle w:val="BodyText"/>
      </w:pPr>
      <w:r>
        <w:t xml:space="preserve">Within the mineral grains comprising rocks, there are tiny magnetized volumes (magnetic domains) which behave like small bar magnets.</w:t>
      </w:r>
      <w:r>
        <w:t xml:space="preserve"> </w:t>
      </w:r>
      <w:r>
        <w:t xml:space="preserve">The direction and magnitude of each magnetic domain is defined by its magnetic dipole moment (</w:t>
      </w:r>
      <m:oMath>
        <m:acc>
          <m:accPr>
            <m:chr m:val="⃗"/>
          </m:accPr>
          <m:e>
            <m:r>
              <m:t>m</m:t>
            </m:r>
          </m:e>
        </m:acc>
      </m:oMath>
      <w:r>
        <w:t xml:space="preserve">).</w:t>
      </w:r>
      <w:r>
        <w:t xml:space="preserve"> </w:t>
      </w:r>
      <w:r>
        <w:t xml:space="preserve">Magnetization (</w:t>
      </w:r>
      <m:oMath>
        <m:acc>
          <m:accPr>
            <m:chr m:val="⃗"/>
          </m:accPr>
          <m:e>
            <m:r>
              <m:t>M</m:t>
            </m:r>
          </m:e>
        </m:acc>
      </m:oMath>
      <w:r>
        <w:t xml:space="preserve">) is defined as the dipole moment per unit volume within a material.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m</m:t>
                </m:r>
              </m:e>
            </m:acc>
          </m:e>
          <m:sub>
            <m:r>
              <m:t>i</m:t>
            </m:r>
          </m:sub>
        </m:sSub>
      </m:oMath>
      <w:r>
        <w:t xml:space="preserve"> </w:t>
      </w:r>
      <w:r>
        <w:t xml:space="preserve">be the magnetic dipole moment of the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nor/>
                <m:sty m:val="p"/>
              </m:rPr>
              <m:t>th</m:t>
            </m:r>
          </m:sup>
        </m:sSup>
      </m:oMath>
      <w:r>
        <w:t xml:space="preserve"> </w:t>
      </w:r>
      <w:r>
        <w:t xml:space="preserve">particle or magnetic domain. Within a volume</w:t>
      </w:r>
      <w:r>
        <w:t xml:space="preserve"> </w:t>
      </w:r>
      <w:r>
        <w:t xml:space="preserve">(</w:t>
      </w:r>
      <m:oMath>
        <m:r>
          <m:t>V</m:t>
        </m:r>
      </m:oMath>
      <w:r>
        <w:t xml:space="preserve">), the total magnetic moment is the sum of all individual magnetic</w:t>
      </w:r>
      <w:r>
        <w:t xml:space="preserve"> </w:t>
      </w:r>
      <w:r>
        <w:t xml:space="preserve">moments, thus: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images/magnetization_physics.png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m</m:t>
              </m:r>
            </m:e>
          </m:acc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acc>
                    <m:accPr>
                      <m:chr m:val="⃗"/>
                    </m:accPr>
                    <m:e>
                      <m:r>
                        <m:t>m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And since magnetization is the dipole moment per unit volume: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⃗"/>
                </m:accPr>
                <m:e>
                  <m:r>
                    <m:t>m</m:t>
                  </m:r>
                </m:e>
              </m:acc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V</m:t>
              </m:r>
            </m:den>
          </m:f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acc>
                    <m:accPr>
                      <m:chr m:val="⃗"/>
                    </m:accPr>
                    <m:e>
                      <m:r>
                        <m:t>m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where the units for magnetization are Am</w:t>
      </w:r>
      <w:r>
        <w:t xml:space="preserve"> 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/m</w:t>
      </w:r>
      <w:r>
        <w:t xml:space="preserve"> 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= A/m.</w:t>
      </w:r>
    </w:p>
    <w:bookmarkStart w:id="21" w:name="physprop_magnetic_field"/>
    <w:p>
      <w:pPr>
        <w:pStyle w:val="BodyText"/>
      </w:pPr>
      <w:r>
        <w:rPr>
          <w:b/>
          <w:bCs/>
        </w:rPr>
        <w:t xml:space="preserve">Magnetic Field</w:t>
      </w:r>
    </w:p>
    <w:bookmarkEnd w:id="21"/>
    <w:p>
      <w:pPr>
        <w:pStyle w:val="BodyText"/>
      </w:pPr>
      <w:r>
        <w:t xml:space="preserve">The magnetic field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</m:e>
        </m:acc>
      </m:oMath>
      <w:r>
        <w:t xml:space="preserve"> </w:t>
      </w:r>
      <w:r>
        <w:t xml:space="preserve">is responsible for applying a magnetic force</w:t>
      </w:r>
      <w:r>
        <w:t xml:space="preserve"> </w:t>
      </w:r>
      <w:r>
        <w:t xml:space="preserve">to a material. Magnetic dipoles subjected to magnetic fields will attempt to</w:t>
      </w:r>
      <w:r>
        <w:t xml:space="preserve"> </w:t>
      </w:r>
      <w:r>
        <w:t xml:space="preserve">align in the direction of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</m:e>
        </m:acc>
      </m:oMath>
      <w:r>
        <w:t xml:space="preserve">. The magnetization process is</w:t>
      </w:r>
      <w:r>
        <w:t xml:space="preserve"> </w:t>
      </w:r>
      <w:r>
        <w:t xml:space="preserve">illustrated in the following interactive figure.</w:t>
      </w:r>
    </w:p>
    <w:p>
      <w:pPr>
        <w:pStyle w:val="BodyText"/>
      </w:pPr>
      <w:r>
        <w:t xml:space="preserve">When there is no external magnetic field, individual magnetic moments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m</m:t>
                </m:r>
              </m:e>
            </m:acc>
          </m:e>
          <m:sub>
            <m:r>
              <m:t>i</m:t>
            </m:r>
          </m:sub>
        </m:sSub>
      </m:oMath>
      <w:r>
        <w:t xml:space="preserve"> </w:t>
      </w:r>
      <w:r>
        <w:t xml:space="preserve">within a volume are generally disordered and hence don't</w:t>
      </w:r>
      <w:r>
        <w:t xml:space="preserve"> </w:t>
      </w:r>
      <w:r>
        <w:t xml:space="preserve">produce a net magnetic field. However, when the material is subjected to an</w:t>
      </w:r>
      <w:r>
        <w:t xml:space="preserve"> </w:t>
      </w:r>
      <w:r>
        <w:t xml:space="preserve">external magnetic field,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</m:e>
        </m:acc>
      </m:oMath>
      <w:r>
        <w:t xml:space="preserve">, the magnetic moments try to re-orient</w:t>
      </w:r>
      <w:r>
        <w:t xml:space="preserve"> </w:t>
      </w:r>
      <w:r>
        <w:t xml:space="preserve">themselves along the direction of the field. This results in a net</w:t>
      </w:r>
      <w:r>
        <w:t xml:space="preserve"> </w:t>
      </w:r>
      <w:r>
        <w:t xml:space="preserve">magnetization which produces a secondary magnetic field. The following</w:t>
      </w:r>
      <w:r>
        <w:t xml:space="preserve"> </w:t>
      </w:r>
      <w:r>
        <w:t xml:space="preserve">interactive figure illustrates this process:</w:t>
      </w:r>
    </w:p>
    <w:p>
      <w:pPr>
        <w:pStyle w:val="BodyText"/>
      </w:pPr>
      <w:r>
        <w:t xml:space="preserve">For many materials, the strength of the alignment of the magnetic moments</w:t>
      </w:r>
      <w:r>
        <w:t xml:space="preserve"> </w:t>
      </w:r>
      <w:r>
        <w:t xml:space="preserve">increases linearly with the strength of the applied field. The magnetic</w:t>
      </w:r>
      <w:r>
        <w:t xml:space="preserve"> </w:t>
      </w:r>
      <w:r>
        <w:t xml:space="preserve">susceptibility therefore defines a constant of proportionality.</w:t>
      </w:r>
    </w:p>
    <w:bookmarkStart w:id="22" w:name="physprop_mag_permeability"/>
    <w:p>
      <w:pPr>
        <w:pStyle w:val="BodyText"/>
      </w:pPr>
      <w:r>
        <w:rPr>
          <w:b/>
          <w:bCs/>
        </w:rPr>
        <w:t xml:space="preserve">Magnetic Permeability</w:t>
      </w:r>
    </w:p>
    <w:bookmarkEnd w:id="22"/>
    <w:p>
      <w:pPr>
        <w:pStyle w:val="BodyText"/>
      </w:pPr>
      <w:r>
        <w:t xml:space="preserve">In magnetic problems, a more fundamental physical property is the magnetic</w:t>
      </w:r>
      <w:r>
        <w:t xml:space="preserve"> </w:t>
      </w:r>
      <w:r>
        <w:t xml:space="preserve">permeability (</w:t>
      </w:r>
      <m:oMath>
        <m:r>
          <m:t>μ</m:t>
        </m:r>
      </m:oMath>
      <w:r>
        <w:t xml:space="preserve">). Magnetic permeability relates the magnetic field</w:t>
      </w:r>
      <w:r>
        <w:t xml:space="preserve"> </w:t>
      </w:r>
      <w:r>
        <w:t xml:space="preserve">(</w:t>
      </w:r>
      <m:oMath>
        <m:acc>
          <m:accPr>
            <m:chr m:val="⃗"/>
          </m:accPr>
          <m:e>
            <m:r>
              <m:t>H</m:t>
            </m:r>
          </m:e>
        </m:acc>
      </m:oMath>
      <w:r>
        <w:t xml:space="preserve">) to the magnetic flux density (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). This</w:t>
      </w:r>
      <w:r>
        <w:t xml:space="preserve"> </w:t>
      </w:r>
      <w:r>
        <w:t xml:space="preserve">constitutive relationship is written as follows: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B</m:t>
              </m:r>
            </m:e>
          </m:acc>
          <m:r>
            <m:rPr>
              <m:sty m:val="p"/>
            </m:rPr>
            <m:t>=</m:t>
          </m:r>
          <m:r>
            <m:t>μ</m:t>
          </m:r>
          <m:acc>
            <m:accPr>
              <m:chr m:val="⃗"/>
            </m:accPr>
            <m:e>
              <m:r>
                <m:t>H</m:t>
              </m:r>
            </m:e>
          </m:acc>
        </m:oMath>
      </m:oMathPara>
    </w:p>
    <w:p>
      <w:pPr>
        <w:pStyle w:val="FirstParagraph"/>
      </w:pPr>
      <w:r>
        <w:t xml:space="preserve">The magnetic flux density depends on the magnetization within the material and</w:t>
      </w:r>
      <w:r>
        <w:t xml:space="preserve"> </w:t>
      </w:r>
      <w:r>
        <w:t xml:space="preserve">can be written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B</m:t>
              </m:r>
            </m:e>
          </m:acc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0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H</m:t>
                  </m:r>
                </m:e>
              </m:acc>
              <m:r>
                <m:rPr>
                  <m:sty m:val="p"/>
                </m:rPr>
                <m:t>+</m:t>
              </m:r>
              <m:acc>
                <m:accPr>
                  <m:chr m:val="⃗"/>
                </m:accPr>
                <m:e>
                  <m:r>
                    <m:t>M</m:t>
                  </m:r>
                </m:e>
              </m:acc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t>π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7</m:t>
            </m:r>
          </m:sup>
        </m:sSup>
      </m:oMath>
      <w:r>
        <w:t xml:space="preserve"> </w:t>
      </w:r>
      <w:r>
        <w:t xml:space="preserve">H/m is the permeability of free-space. The permeability of free-space represents the relationship between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</m:e>
        </m:acc>
      </m:oMath>
      <w:r>
        <w:t xml:space="preserve"> </w:t>
      </w:r>
      <w:r>
        <w:t xml:space="preserve">when the material is non-magnetic. For</w:t>
      </w:r>
      <w:r>
        <w:t xml:space="preserve"> </w:t>
      </w:r>
      <w:r>
        <w:t xml:space="preserve">materials in which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=</m:t>
        </m:r>
        <m:r>
          <m:t>κ</m:t>
        </m:r>
        <m:acc>
          <m:accPr>
            <m:chr m:val="⃗"/>
          </m:accPr>
          <m:e>
            <m:r>
              <m:t>H</m:t>
            </m:r>
          </m:e>
        </m:acc>
      </m:oMath>
      <w:r>
        <w:t xml:space="preserve">, the magnetic permeability</w:t>
      </w:r>
      <w:r>
        <w:t xml:space="preserve"> </w:t>
      </w:r>
      <w:r>
        <w:t xml:space="preserve">can be defined in terms of the magnetic susceptibility as follows: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0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κ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Relative Permeability</w:t>
      </w:r>
    </w:p>
    <w:p>
      <w:pPr>
        <w:pStyle w:val="BodyText"/>
      </w:pPr>
      <w:r>
        <w:t xml:space="preserve">Relative permeability (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) defines the ratio between the magnetic</w:t>
      </w:r>
      <w:r>
        <w:t xml:space="preserve"> </w:t>
      </w:r>
      <w:r>
        <w:t xml:space="preserve">permeability of the material and the permeability of free-space: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μ</m:t>
              </m:r>
            </m:num>
            <m:den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According to the above definitions, both magnetic susceptibility and magnetic</w:t>
      </w:r>
      <w:r>
        <w:t xml:space="preserve"> </w:t>
      </w:r>
      <w:r>
        <w:t xml:space="preserve">permeability are diagnostic physical properties associated with the magnetic</w:t>
      </w:r>
      <w:r>
        <w:t xml:space="preserve"> </w:t>
      </w:r>
      <w:r>
        <w:t xml:space="preserve">characteristics of materials. In the literature, it is common to see physical</w:t>
      </w:r>
      <w:r>
        <w:t xml:space="preserve"> </w:t>
      </w:r>
      <w:r>
        <w:t xml:space="preserve">property tables which use</w:t>
      </w:r>
      <w:r>
        <w:t xml:space="preserve"> </w:t>
      </w:r>
      <m:oMath>
        <m:r>
          <m:t>μ</m:t>
        </m:r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or</w:t>
      </w:r>
      <w:r>
        <w:t xml:space="preserve"> </w:t>
      </w:r>
      <m:oMath>
        <m:r>
          <m:t>κ</m:t>
        </m:r>
      </m:oMath>
      <w:r>
        <w:t xml:space="preserve">. For</w:t>
      </w:r>
      <w:r>
        <w:t xml:space="preserve"> </w:t>
      </w:r>
      <w:r>
        <w:t xml:space="preserve">most rocks, the susceptibility is small and charcterizing the magnetic</w:t>
      </w:r>
      <w:r>
        <w:t xml:space="preserve"> </w:t>
      </w:r>
      <w:r>
        <w:t xml:space="preserve">properties in terms of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is convenient. Parameters used to define</w:t>
      </w:r>
      <w:r>
        <w:t xml:space="preserve"> </w:t>
      </w:r>
      <w:r>
        <w:t xml:space="preserve">magnetic properties and their associated units are tabulated below.</w:t>
      </w:r>
    </w:p>
    <w:tbl>
      <w:tblPr>
        <w:tblStyle w:val="Table"/>
        <w:tblW w:type="pct" w:w="3889"/>
        <w:tblLayout w:type="fixed"/>
        <w:tblLook w:firstRow="1" w:lastRow="0" w:firstColumn="0" w:lastColumn="0" w:noHBand="0" w:noVBand="0" w:val="0020"/>
      </w:tblPr>
      <w:tblGrid>
        <w:gridCol w:w="2970"/>
        <w:gridCol w:w="187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Property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Symbol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Magnetic Field Intensity</w:t>
            </w:r>
          </w:p>
        </w:tc>
        <w:tc>
          <w:tcPr/>
          <w:p>
            <w:pPr>
              <w:pStyle w:val="Compact"/>
            </w:pPr>
            <m:oMath>
              <m:acc>
                <m:accPr>
                  <m:chr m:val="⃗"/>
                </m:accPr>
                <m:e>
                  <m:r>
                    <m:t>H</m:t>
                  </m:r>
                </m:e>
              </m:acc>
            </m:oMath>
          </w:p>
        </w:tc>
        <w:tc>
          <w:tcPr/>
          <w:p>
            <w:pPr>
              <w:pStyle w:val="Compact"/>
            </w:pPr>
            <w:r>
              <w:t xml:space="preserve">A/m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Magnetic Flux Density</w:t>
            </w:r>
          </w:p>
        </w:tc>
        <w:tc>
          <w:tcPr/>
          <w:p>
            <w:pPr>
              <w:pStyle w:val="Compact"/>
            </w:pPr>
            <m:oMath>
              <m:acc>
                <m:accPr>
                  <m:chr m:val="⃗"/>
                </m:accPr>
                <m:e>
                  <m:r>
                    <m:t>B</m:t>
                  </m:r>
                </m:e>
              </m:acc>
            </m:oMath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Magnetization</w:t>
            </w:r>
          </w:p>
        </w:tc>
        <w:tc>
          <w:tcPr/>
          <w:p>
            <w:pPr>
              <w:pStyle w:val="Compact"/>
            </w:pPr>
            <m:oMath>
              <m:acc>
                <m:accPr>
                  <m:chr m:val="⃗"/>
                </m:accPr>
                <m:e>
                  <m:r>
                    <m:t>M</m:t>
                  </m:r>
                </m:e>
              </m:acc>
            </m:oMath>
          </w:p>
        </w:tc>
        <w:tc>
          <w:tcPr/>
          <w:p>
            <w:pPr>
              <w:pStyle w:val="Compact"/>
            </w:pPr>
            <w:r>
              <w:t xml:space="preserve">A/m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Magnetic Susceptibility</w:t>
            </w:r>
          </w:p>
        </w:tc>
        <w:tc>
          <w:tcPr/>
          <w:p>
            <w:pPr>
              <w:pStyle w:val="Compact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Unitless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Magnetic Permeability</w:t>
            </w:r>
          </w:p>
        </w:tc>
        <w:tc>
          <w:tcPr/>
          <w:p>
            <w:pPr>
              <w:pStyle w:val="Compact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</w:pPr>
            <w:r>
              <w:t xml:space="preserve">H/m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Relative Permeability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μ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Unitless</w:t>
            </w:r>
          </w:p>
        </w:tc>
      </w:tr>
    </w:tbl>
    <w:p>
      <w:pPr>
        <w:pStyle w:val="BodyText"/>
      </w:pPr>
      <w:r>
        <w:t xml:space="preserve">Some useful conversions for units are:</w:t>
      </w:r>
    </w:p>
    <w:p>
      <w:pPr>
        <w:pStyle w:val="FirstParagraph"/>
      </w:pPr>
      <w:r>
        <w:t xml:space="preserve">The above units (with the exception of gamma) are all SI units; which can always be expressed using meters, kilograms, and seconds.</w:t>
      </w:r>
      <w:r>
        <w:t xml:space="preserve"> </w:t>
      </w:r>
      <w:r>
        <w:t xml:space="preserve">Historically, units of cgs (centimeter, grams, seconds) were used to define the magnetic susceptibilities for rocks.</w:t>
      </w:r>
      <w:r>
        <w:t xml:space="preserve"> </w:t>
      </w:r>
      <w:r>
        <w:t xml:space="preserve">Although it is unitless, the value of susceptibility is different when given in cgs as opposed to SI.</w:t>
      </w:r>
      <w:r>
        <w:t xml:space="preserve"> </w:t>
      </w:r>
      <w:r>
        <w:t xml:space="preserve">The translation between cgs and SI units is:</w:t>
      </w:r>
    </w:p>
    <w:p>
      <w:pPr>
        <w:pStyle w:val="BodyText"/>
      </w:pPr>
      <m:oMathPara>
        <m:oMathParaPr>
          <m:jc m:val="center"/>
        </m:oMathParaPr>
        <m:oMath>
          <m:r>
            <m:t>κ</m:t>
          </m:r>
          <m:r>
            <m:t> </m:t>
          </m:r>
          <m:r>
            <m:rPr>
              <m:nor/>
              <m:sty m:val="p"/>
            </m:rPr>
            <m:t>(SI)</m:t>
          </m:r>
          <m:r>
            <m:rPr>
              <m:sty m:val="p"/>
            </m:rPr>
            <m:t>=</m:t>
          </m:r>
          <m:r>
            <m:t>4</m:t>
          </m:r>
          <m:r>
            <m:t>π</m:t>
          </m:r>
          <m:r>
            <m:t>κ</m:t>
          </m:r>
          <m:r>
            <m:t> </m:t>
          </m:r>
          <m:r>
            <m:rPr>
              <m:nor/>
              <m:sty m:val="p"/>
            </m:rPr>
            <m:t>(cgs)</m:t>
          </m:r>
        </m:oMath>
      </m:oMathPara>
    </w:p>
    <w:p>
      <w:pPr>
        <w:pStyle w:val="FirstParagraph"/>
      </w:pPr>
      <w:r>
        <w:t xml:space="preserve">The SI system is the current preferred standard among most geophysicists, but you will find cgs used in older references and texts.</w:t>
      </w:r>
      <w:r>
        <w:t xml:space="preserve"> </w:t>
      </w:r>
      <w:r>
        <w:t xml:space="preserve">This can cause great confusion so be careful!</w:t>
      </w:r>
    </w:p>
    <w:bookmarkStart w:id="23" w:name="susceptibility-measurements"/>
    <w:p>
      <w:pPr>
        <w:pStyle w:val="Heading1"/>
      </w:pPr>
      <w:r>
        <w:t xml:space="preserve">Susceptibility Measurements</w:t>
      </w:r>
    </w:p>
    <w:p>
      <w:pPr>
        <w:pStyle w:val="FirstParagraph"/>
      </w:pPr>
      <w:r>
        <w:rPr>
          <w:b/>
          <w:bCs/>
        </w:rPr>
        <w:t xml:space="preserve">KT-10 Magnetic Susceptibility Meter</w:t>
      </w:r>
    </w:p>
    <w:p>
      <w:pPr>
        <w:pStyle w:val="BodyText"/>
      </w:pPr>
      <w:r>
        <w:t xml:space="preserve">The KT-10 magnetic susceptibility meter is a widely used tool for measuring magnetic susceptibilities in the field.</w:t>
      </w:r>
      <w:r>
        <w:t xml:space="preserve"> </w:t>
      </w:r>
      <w:r>
        <w:t xml:space="preserve">Within the KT-10, there is an electrical circuit which produces a magnetic field.</w:t>
      </w:r>
      <w:r>
        <w:t xml:space="preserve"> </w:t>
      </w:r>
      <w:r>
        <w:t xml:space="preserve">When held next to a rock, the magnetic field causes a magnetization within the rock.</w:t>
      </w:r>
      <w:r>
        <w:t xml:space="preserve"> </w:t>
      </w:r>
      <w:r>
        <w:t xml:space="preserve">This magnetization changes the resonance frequency of the current within the circuit.</w:t>
      </w:r>
      <w:r>
        <w:t xml:space="preserve"> </w:t>
      </w:r>
      <w:r>
        <w:t xml:space="preserve">Therefore, the KT-10 measures a change in resonance frequency, and uses it to approximate the susceptibility of the rock.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images/magnetic_susceptibility_measurement_KT10.jpg</w:t>
            </w:r>
          </w:p>
        </w:tc>
      </w:tr>
    </w:tbl>
    <w:p>
      <w:pPr>
        <w:pStyle w:val="BodyText"/>
      </w:pPr>
      <w:r>
        <w:rPr>
          <w:b/>
          <w:bCs/>
        </w:rPr>
        <w:t xml:space="preserve">Laboratory Measurements</w:t>
      </w:r>
    </w:p>
    <w:p>
      <w:pPr>
        <w:pStyle w:val="BodyText"/>
      </w:pPr>
      <w:r>
        <w:t xml:space="preserve">Laboratory measurements are based on the same physical principles as the KT-10.</w:t>
      </w:r>
      <w:r>
        <w:t xml:space="preserve"> </w:t>
      </w:r>
      <w:r>
        <w:t xml:space="preserve">However, the circuit and sample holder used in laboratory measurements are more sophisticated, resulting in more accurate susceptibility values.</w:t>
      </w:r>
    </w:p>
    <w:bookmarkEnd w:id="23"/>
    <w:bookmarkStart w:id="24" w:name="physprop_susc_common_rocks"/>
    <w:p>
      <w:pPr>
        <w:pStyle w:val="Heading1"/>
      </w:pPr>
      <w:r>
        <w:t xml:space="preserve">Susceptibility of Common Rocks</w:t>
      </w:r>
    </w:p>
    <w:p>
      <w:pPr>
        <w:pStyle w:val="FirstParagraph"/>
      </w:pPr>
      <w:r>
        <w:t xml:space="preserve">Charts showing the range of magnetic susceptibility values for common rock types are shown below.</w:t>
      </w:r>
      <w:r>
        <w:t xml:space="preserve"> </w:t>
      </w:r>
      <w:r>
        <w:t xml:space="preserve">Note that the scale is logarithmic, indicating a large variability in magnetic susceptibility among rocks.</w:t>
      </w:r>
      <w:r>
        <w:t xml:space="preserve"> </w:t>
      </w:r>
      <w:r>
        <w:t xml:space="preserve">From these charts we can infer several things:</w:t>
      </w:r>
    </w:p>
    <w:p>
      <w:pPr>
        <w:pStyle w:val="Compact"/>
        <w:numPr>
          <w:ilvl w:val="0"/>
          <w:numId w:val="1001"/>
        </w:numPr>
      </w:pPr>
      <w:r>
        <w:t xml:space="preserve">Rocks with a high magnetite content are by far the most susceptible (see red vertical red lines denoting % magnetite content).</w:t>
      </w:r>
    </w:p>
    <w:p>
      <w:pPr>
        <w:pStyle w:val="Compact"/>
        <w:numPr>
          <w:ilvl w:val="0"/>
          <w:numId w:val="1001"/>
        </w:numPr>
      </w:pPr>
      <w:r>
        <w:t xml:space="preserve">Although hematite and magnetite are both iron-oxide minerals, only magnetite is particularly susceptible.</w:t>
      </w:r>
    </w:p>
    <w:p>
      <w:pPr>
        <w:pStyle w:val="Compact"/>
        <w:numPr>
          <w:ilvl w:val="0"/>
          <w:numId w:val="1001"/>
        </w:numPr>
      </w:pPr>
      <w:r>
        <w:t xml:space="preserve">Igneous and metamorphic rocks tend to be more susceptible than sedimentary rocks. However, there is a very wide range of overlap.</w:t>
      </w:r>
    </w:p>
    <w:p>
      <w:pPr>
        <w:pStyle w:val="Compact"/>
        <w:numPr>
          <w:ilvl w:val="0"/>
          <w:numId w:val="1001"/>
        </w:numPr>
      </w:pPr>
      <w:r>
        <w:t xml:space="preserve">Mafic igneous rocks are more susceptible than felsic igneous rocks.</w:t>
      </w:r>
    </w:p>
    <w:p>
      <w:pPr>
        <w:pStyle w:val="Compact"/>
        <w:numPr>
          <w:ilvl w:val="0"/>
          <w:numId w:val="1001"/>
        </w:numPr>
      </w:pPr>
      <w:r>
        <w:t xml:space="preserve">Mineralized rocks such as skarns and banded-iron formations are generally more susceptible than the surrounding country rock.</w:t>
      </w:r>
    </w:p>
    <w:p>
      <w:pPr>
        <w:pStyle w:val="FirstParagraph"/>
      </w:pPr>
      <w:r>
        <w:t xml:space="preserve">A more detailed analysis of rock magnetic properties can be found in Clark and Emerson (1991).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images/rock_susceptibilities_adapted.png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images/susceptibility_chart.gif</w:t>
            </w:r>
          </w:p>
        </w:tc>
      </w:tr>
    </w:tbl>
    <w:bookmarkEnd w:id="24"/>
    <w:bookmarkStart w:id="25" w:name="X28df2df18ac6b8ec373f99a1344fa9a49b59b02"/>
    <w:p>
      <w:pPr>
        <w:pStyle w:val="Heading1"/>
      </w:pPr>
      <w:r>
        <w:t xml:space="preserve">Factors Impacting Magnetic Susceptibility</w:t>
      </w:r>
    </w:p>
    <w:p>
      <w:pPr>
        <w:pStyle w:val="FirstParagraph"/>
      </w:pPr>
      <w:r>
        <w:rPr>
          <w:b/>
          <w:bCs/>
        </w:rPr>
        <w:t xml:space="preserve">Magnetic Minerals</w:t>
      </w:r>
    </w:p>
    <w:p>
      <w:pPr>
        <w:pStyle w:val="BodyText"/>
      </w:pPr>
      <w:r>
        <w:t xml:space="preserve">The magnetic susceptibility of a rock depends on the type and abundance of</w:t>
      </w:r>
      <w:r>
        <w:t xml:space="preserve"> </w:t>
      </w:r>
      <w:r>
        <w:t xml:space="preserve">magnetic minerals it contains. Magnetic minerals are generally part of the</w:t>
      </w:r>
      <w:r>
        <w:t xml:space="preserve"> </w:t>
      </w:r>
      <w:r>
        <w:t xml:space="preserve">iron-titanium-oxide or iron-sulphide mineral groups. The most important</w:t>
      </w:r>
      <w:r>
        <w:t xml:space="preserve"> </w:t>
      </w:r>
      <w:r>
        <w:t xml:space="preserve">magnetic mineral in rock magnetism is magnetite. This mineral is common in</w:t>
      </w:r>
      <w:r>
        <w:t xml:space="preserve"> </w:t>
      </w:r>
      <w:r>
        <w:t xml:space="preserve">igneous and metamorphic rocks, and is present at least in trace amounts in</w:t>
      </w:r>
      <w:r>
        <w:t xml:space="preserve"> </w:t>
      </w:r>
      <w:r>
        <w:t xml:space="preserve">most sediments. Ore-bearing sulphides are frequently susceptible due to</w:t>
      </w:r>
      <w:r>
        <w:t xml:space="preserve"> </w:t>
      </w:r>
      <w:r>
        <w:t xml:space="preserve">minerals such as pyrite and pyrrhotite. The magnetic susceptibilities of</w:t>
      </w:r>
      <w:r>
        <w:t xml:space="preserve"> </w:t>
      </w:r>
      <w:r>
        <w:t xml:space="preserve">notable magnetic minerals are shown below.</w:t>
      </w:r>
    </w:p>
    <w:tbl>
      <w:tblPr>
        <w:tblStyle w:val="Table"/>
        <w:tblW w:type="pct" w:w="4940"/>
        <w:tblLayout w:type="fixed"/>
        <w:tblLook w:firstRow="1" w:lastRow="0" w:firstColumn="0" w:lastColumn="0" w:noHBand="0" w:noVBand="0" w:val="0020"/>
      </w:tblPr>
      <w:tblGrid>
        <w:gridCol w:w="2290"/>
        <w:gridCol w:w="2576"/>
        <w:gridCol w:w="2958"/>
      </w:tblGrid>
      <w:tr>
        <w:trPr>
          <w:tblHeader w:val="on"/>
        </w:trPr>
        <w:tc>
          <w:tcPr/>
          <w:p>
            <w:pPr>
              <w:pStyle w:val="BlockText"/>
            </w:pPr>
            <w:r>
              <w:rPr>
                <w:b/>
                <w:bCs/>
              </w:rPr>
              <w:t xml:space="preserve">Mineral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Chemical formula</w:t>
            </w:r>
          </w:p>
        </w:tc>
        <w:tc>
          <w:tcPr/>
          <w:p>
            <w:pPr>
              <w:pStyle w:val="BlockText"/>
            </w:pPr>
            <w:r>
              <w:t xml:space="preserve">Average susceptibility (SI)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Magnetite</w:t>
            </w:r>
          </w:p>
        </w:tc>
        <w:tc>
          <w:tcPr/>
          <w:p>
            <w:pPr>
              <w:pStyle w:val="Compact"/>
            </w:pPr>
            <m:oMath>
              <m:r>
                <m:t>F</m:t>
              </m:r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O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5.8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Ilmenite</w:t>
            </w:r>
          </w:p>
        </w:tc>
        <w:tc>
          <w:tcPr/>
          <w:p>
            <w:pPr>
              <w:pStyle w:val="Compact"/>
            </w:pPr>
            <m:oMath>
              <m:r>
                <m:t>F</m:t>
              </m:r>
              <m:r>
                <m:t>e</m:t>
              </m:r>
              <m:r>
                <m:t>T</m:t>
              </m:r>
              <m:r>
                <m:t>i</m:t>
              </m:r>
              <m:sSub>
                <m:e>
                  <m:r>
                    <m:t>O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1.8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Hematite</w:t>
            </w:r>
          </w:p>
        </w:tc>
        <w:tc>
          <w:tcPr/>
          <w:p>
            <w:pPr>
              <w:pStyle w:val="Compact"/>
            </w:pPr>
            <m:oMath>
              <m:r>
                <m:t>F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O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BlockText"/>
            </w:pPr>
            <m:oMath>
              <m:r>
                <m:t>6.5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w:r>
              <w:t xml:space="preserve">Maghemite</w:t>
            </w:r>
          </w:p>
        </w:tc>
        <w:tc>
          <w:tcPr/>
          <w:p>
            <w:pPr>
              <w:pStyle w:val="Compact"/>
            </w:pPr>
            <m:oMath>
              <m:r>
                <m:t>F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O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5.8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Pyrite</w:t>
            </w:r>
          </w:p>
        </w:tc>
        <w:tc>
          <w:tcPr/>
          <w:p>
            <w:pPr>
              <w:pStyle w:val="Compact"/>
            </w:pPr>
            <m:oMath>
              <m:r>
                <m:t>F</m:t>
              </m:r>
              <m:r>
                <m:t>e</m:t>
              </m:r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BlockText"/>
            </w:pPr>
            <m:oMath>
              <m:r>
                <m:t>1.5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w:r>
              <w:t xml:space="preserve">Pyrrhotite</w:t>
            </w:r>
          </w:p>
        </w:tc>
        <w:tc>
          <w:tcPr/>
          <w:p>
            <w:pPr>
              <w:pStyle w:val="Compact"/>
            </w:pPr>
            <m:oMath>
              <m:r>
                <m:t>F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b>
              </m:sSub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F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7</m:t>
                      </m:r>
                    </m:sub>
                  </m:sSub>
                  <m:sSub>
                    <m:e>
                      <m:r>
                        <m:t>S</m:t>
                      </m:r>
                    </m:e>
                    <m:sub>
                      <m:r>
                        <m:t>8</m:t>
                      </m:r>
                    </m:sub>
                  </m:sSub>
                </m:e>
              </m:d>
            </m:oMath>
          </w:p>
        </w:tc>
        <w:tc>
          <w:tcPr/>
          <w:p>
            <w:pPr>
              <w:pStyle w:val="BlockText"/>
            </w:pPr>
            <w:r>
              <w:t xml:space="preserve">1.5</w:t>
            </w:r>
          </w:p>
        </w:tc>
      </w:tr>
    </w:tbl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Susceptibility</dc:title>
  <dc:creator/>
  <cp:keywords/>
  <dcterms:created xsi:type="dcterms:W3CDTF">2025-01-16T09:29:14Z</dcterms:created>
  <dcterms:modified xsi:type="dcterms:W3CDTF">2025-01-16T09:29:14Z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