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Density</w:t>
      </w:r>
    </w:p>
    <w:p>
      <w:pPr>
        <w:pStyle w:val="FirstParagraph"/>
      </w:pPr>
      <w:r>
        <w:t xml:space="preserve">Density (</w:t>
      </w:r>
      <m:oMath>
        <m:r>
          <m:t>ρ</m:t>
        </m:r>
      </m:oMath>
      <w:r>
        <w:t xml:space="preserve">) is defined as the mass (</w:t>
      </w:r>
      <m:oMath>
        <m:r>
          <m:t>m</m:t>
        </m:r>
      </m:oMath>
      <w:r>
        <w:t xml:space="preserve">) contained within a material per unit volume (</w:t>
      </w:r>
      <m:oMath>
        <m:r>
          <m:t>V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Please note that mass (the quantity of matter within an object) should not be confused with weight (the downward force exerted by an object due to gravity).</w:t>
      </w:r>
    </w:p>
    <w:p>
      <w:pPr>
        <w:pStyle w:val="BodyText"/>
      </w:pPr>
      <w:r>
        <w:rPr>
          <w:b/>
          <w:bCs/>
        </w:rPr>
        <w:t xml:space="preserve">Specific Gravity</w:t>
      </w:r>
      <w:r>
        <w:t xml:space="preserve">:</w:t>
      </w:r>
    </w:p>
    <w:p>
      <w:pPr>
        <w:pStyle w:val="BodyText"/>
      </w:pPr>
      <w:r>
        <w:t xml:space="preserve">In some cases, the density of a material is represented instead by its specific gravity.</w:t>
      </w:r>
      <w:r>
        <w:t xml:space="preserve"> </w:t>
      </w:r>
      <w:r>
        <w:t xml:space="preserve">Specific gravity defines the ratio of a material's density to that of water: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.</m:t>
          </m:r>
          <m:r>
            <m:t>G</m:t>
          </m:r>
          <m:r>
            <m:rPr>
              <m:sty m:val="p"/>
            </m:rPr>
            <m:t>.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ρ</m:t>
              </m:r>
            </m:num>
            <m:den>
              <m:sSub>
                <m:e>
                  <m:r>
                    <m:t>ρ</m:t>
                  </m:r>
                </m:e>
                <m:sub>
                  <m:r>
                    <m:t>w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 the density of water</w:t>
      </w:r>
      <w:r>
        <w:t xml:space="preserve"> </w:t>
      </w:r>
      <m:oMath>
        <m:sSub>
          <m:e>
            <m:r>
              <m:t>ρ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= 1,000 kg/m</w:t>
      </w:r>
      <w:r>
        <w:t xml:space="preserve"> 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(or 1 g/cm</w:t>
      </w:r>
      <w:r>
        <w:t xml:space="preserve"> 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).</w:t>
      </w:r>
      <w:r>
        <w:t xml:space="preserve"> </w:t>
      </w:r>
      <w:r>
        <w:t xml:space="preserve">Parameters used to define density and their associated units are summarized below.</w:t>
      </w:r>
    </w:p>
    <w:tbl>
      <w:tblPr>
        <w:tblStyle w:val="Table"/>
        <w:tblW w:type="pct" w:w="4934"/>
        <w:tblLayout w:type="fixed"/>
        <w:tblLook w:firstRow="1" w:lastRow="0" w:firstColumn="0" w:lastColumn="0" w:noHBand="0" w:noVBand="0" w:val="0020"/>
      </w:tblPr>
      <w:tblGrid>
        <w:gridCol w:w="1980"/>
        <w:gridCol w:w="1563"/>
        <w:gridCol w:w="42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  <w:r>
              <w:t xml:space="preserve">Symbol</w:t>
            </w:r>
          </w:p>
        </w:tc>
        <w:tc>
          <w:tcPr/>
          <w:p>
            <w:pPr>
              <w:pStyle w:val="Compact"/>
            </w:pPr>
            <w:r>
              <w:t xml:space="preserve">Units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Density</w:t>
            </w:r>
          </w:p>
        </w:tc>
        <w:tc>
          <w:tcPr/>
          <w:p>
            <w:pPr>
              <w:pStyle w:val="Compact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</w:pPr>
            <w:r>
              <w:t xml:space="preserve">g/cm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or kg/m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w:r>
              <w:t xml:space="preserve">Mass</w:t>
            </w:r>
          </w:p>
        </w:tc>
        <w:tc>
          <w:tcPr/>
          <w:p>
            <w:pPr>
              <w:pStyle w:val="Compact"/>
            </w:pPr>
            <m:oMath>
              <m:r>
                <m:t>m</m:t>
              </m:r>
            </m:oMath>
          </w:p>
        </w:tc>
        <w:tc>
          <w:tcPr/>
          <w:p>
            <w:pPr>
              <w:pStyle w:val="Compact"/>
            </w:pPr>
            <w:r>
              <w:t xml:space="preserve">g or kg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Volume</w:t>
            </w:r>
          </w:p>
        </w:tc>
        <w:tc>
          <w:tcPr/>
          <w:p>
            <w:pPr>
              <w:pStyle w:val="Compact"/>
            </w:pPr>
            <m:oMath>
              <m:r>
                <m:t>V</m:t>
              </m:r>
            </m:oMath>
          </w:p>
        </w:tc>
        <w:tc>
          <w:tcPr/>
          <w:p>
            <w:pPr>
              <w:pStyle w:val="Compact"/>
            </w:pPr>
            <w:r>
              <w:t xml:space="preserve">cm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 </w:t>
            </w:r>
            <w:r>
              <w:t xml:space="preserve">or m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</w:pPr>
            <w:r>
              <w:t xml:space="preserve">Specific Gravity</w:t>
            </w:r>
          </w:p>
        </w:tc>
        <w:tc>
          <w:tcPr/>
          <w:p>
            <w:pPr>
              <w:pStyle w:val="Compact"/>
            </w:pPr>
            <m:oMath>
              <m:r>
                <m:t>S</m:t>
              </m:r>
              <m:r>
                <m:rPr>
                  <m:sty m:val="p"/>
                </m:rPr>
                <m:t>.</m:t>
              </m:r>
              <m:r>
                <m:t>G</m:t>
              </m:r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Unitless</w:t>
            </w:r>
          </w:p>
        </w:tc>
      </w:tr>
    </w:tbl>
    <w:bookmarkStart w:id="20" w:name="density-measurements"/>
    <w:p>
      <w:pPr>
        <w:pStyle w:val="Heading1"/>
      </w:pPr>
      <w:r>
        <w:t xml:space="preserve">Density Measurements</w:t>
      </w:r>
    </w:p>
    <w:p>
      <w:pPr>
        <w:pStyle w:val="FirstParagraph"/>
      </w:pPr>
      <w:r>
        <w:t xml:space="preserve">Acquiring the density of a material requires an appropriate method of measurement.</w:t>
      </w:r>
      <w:r>
        <w:t xml:space="preserve"> </w:t>
      </w:r>
      <w:r>
        <w:t xml:space="preserve">Below are four common ways to measure density. These are ordered from more basic to more sophisticated.</w:t>
      </w:r>
    </w:p>
    <w:p>
      <w:pPr>
        <w:pStyle w:val="BodyText"/>
      </w:pPr>
      <w:r>
        <w:rPr>
          <w:b/>
          <w:bCs/>
        </w:rPr>
        <w:t xml:space="preserve">Basic Method</w:t>
      </w:r>
    </w:p>
    <w:p>
      <w:pPr>
        <w:pStyle w:val="BodyText"/>
      </w:pPr>
      <w:r>
        <w:t xml:space="preserve">The most basic method for measuring a rock's bulk density can be performed in two steps.</w:t>
      </w:r>
      <w:r>
        <w:t xml:space="preserve"> </w:t>
      </w:r>
      <w:r>
        <w:t xml:space="preserve">First, the mass (M) of the rock is obtained using a weight scale.</w:t>
      </w:r>
      <w:r>
        <w:t xml:space="preserve"> </w:t>
      </w:r>
      <w:r>
        <w:t xml:space="preserve">Next, the rock is fully immersed into a volume of water contained in a graduated cylinder.</w:t>
      </w:r>
      <w:r>
        <w:t xml:space="preserve"> </w:t>
      </w:r>
      <w:r>
        <w:t xml:space="preserve">The amount of water which is displaced by the rock is equal to the volume (</w:t>
      </w:r>
      <m:oMath>
        <m:r>
          <m:t>V</m:t>
        </m:r>
      </m:oMath>
      <w:r>
        <w:t xml:space="preserve">) of the sample.</w:t>
      </w:r>
      <w:r>
        <w:t xml:space="preserve"> </w:t>
      </w:r>
      <w:r>
        <w:t xml:space="preserve">The density of the rock is obtained from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</m:num>
            <m:den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This method is simple but it is often not sufficiently accurate for geophysical purposes.</w:t>
      </w:r>
    </w:p>
    <w:p>
      <w:pPr>
        <w:pStyle w:val="BodyText"/>
      </w:pPr>
      <w:r>
        <w:rPr>
          <w:b/>
          <w:bCs/>
        </w:rPr>
        <w:t xml:space="preserve">Hydrostatic Weighting</w:t>
      </w:r>
    </w:p>
    <w:p>
      <w:pPr>
        <w:pStyle w:val="BodyText"/>
      </w:pPr>
      <w:r>
        <w:t xml:space="preserve">For this method, the mass of the rock (</w:t>
      </w:r>
      <m:oMath>
        <m:sSub>
          <m:e>
            <m:r>
              <m:t>m</m:t>
            </m:r>
          </m:e>
          <m:sub>
            <m:r>
              <m:t>a</m:t>
            </m:r>
          </m:sub>
        </m:sSub>
      </m:oMath>
      <w:r>
        <w:t xml:space="preserve">) is first measured using a conventional scale.</w:t>
      </w:r>
      <w:r>
        <w:t xml:space="preserve"> </w:t>
      </w:r>
      <w:r>
        <w:t xml:space="preserve">The rock is then immersed into a bath of water, where its underwater weight is measured and used to obtain an apparent mass (</w:t>
      </w:r>
      <m:oMath>
        <m:sSub>
          <m:e>
            <m:r>
              <m:t>m</m:t>
            </m:r>
          </m:e>
          <m:sub>
            <m:r>
              <m:t>w</m:t>
            </m:r>
          </m:sub>
        </m:sSub>
      </m:oMath>
      <w:r>
        <w:t xml:space="preserve">).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ρ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= 1000 kg/m</w:t>
      </w:r>
      <w:r>
        <w:t xml:space="preserve"> 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is the density of water, the density of the rock is given by: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./images/hydrostatic_weighting_legend.jpg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a</m:t>
                  </m:r>
                </m:sub>
              </m:sSub>
            </m:num>
            <m:den>
              <m:sSub>
                <m:e>
                  <m:r>
                    <m:t>m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m</m:t>
                  </m:r>
                </m:e>
                <m:sub>
                  <m:r>
                    <m:t>w</m:t>
                  </m:r>
                </m:sub>
              </m:sSub>
            </m:den>
          </m:f>
          <m:r>
            <m:rPr>
              <m:sty m:val="p"/>
            </m:rPr>
            <m:t>×</m:t>
          </m:r>
          <m:sSub>
            <m:e>
              <m:r>
                <m:t>ρ</m:t>
              </m:r>
            </m:e>
            <m:sub>
              <m:r>
                <m:t>w</m:t>
              </m:r>
            </m:sub>
          </m:sSub>
        </m:oMath>
      </m:oMathPara>
    </w:p>
    <w:p>
      <w:pPr>
        <w:pStyle w:val="FirstParagraph"/>
      </w:pPr>
      <w:r>
        <w:t xml:space="preserve">This method does poorly if the rock is unconsolidated or porous.</w:t>
      </w:r>
      <w:r>
        <w:t xml:space="preserve"> </w:t>
      </w:r>
      <w:r>
        <w:t xml:space="preserve">Unconsolidated rocks tend to break apart when immersed in water.</w:t>
      </w:r>
      <w:r>
        <w:t xml:space="preserve"> </w:t>
      </w:r>
      <w:r>
        <w:t xml:space="preserve">The pore-space within porous rocks becomes partially filled, resulting in an overestimation of the rock's density.</w:t>
      </w:r>
    </w:p>
    <w:p>
      <w:pPr>
        <w:pStyle w:val="BodyText"/>
      </w:pPr>
      <w:r>
        <w:rPr>
          <w:b/>
          <w:bCs/>
        </w:rPr>
        <w:t xml:space="preserve">Pycnometer Measurements</w:t>
      </w:r>
    </w:p>
    <w:p>
      <w:pPr>
        <w:pStyle w:val="BodyText"/>
      </w:pPr>
      <w:r>
        <w:t xml:space="preserve">Pycnometer measurements are generally used on porous rocks and sediments.</w:t>
      </w:r>
      <w:r>
        <w:t xml:space="preserve"> </w:t>
      </w:r>
      <w:r>
        <w:t xml:space="preserve">Using a pycnometer, we can obtain a rock's skeletal density; that is, the average density of all solid material within the rock.</w:t>
      </w:r>
      <w:r>
        <w:t xml:space="preserve"> </w:t>
      </w:r>
      <w:r>
        <w:t xml:space="preserve">Bulk density is not recovered using this method, as we are not accounting for the rock's pore space.</w:t>
      </w:r>
    </w:p>
    <w:p>
      <w:pPr>
        <w:pStyle w:val="BodyText"/>
      </w:pPr>
      <w:r>
        <w:t xml:space="preserve">Pycnometers typically consist of a hollow chamber with a known initial volume (</w:t>
      </w:r>
      <m:oMath>
        <m:sSub>
          <m:e>
            <m:r>
              <m:t>V</m:t>
            </m:r>
          </m:e>
          <m:sub>
            <m:r>
              <m:t>c</m:t>
            </m:r>
          </m:sub>
        </m:sSub>
      </m:oMath>
      <w:r>
        <w:t xml:space="preserve">).</w:t>
      </w:r>
      <w:r>
        <w:t xml:space="preserve"> </w:t>
      </w:r>
      <w:r>
        <w:t xml:space="preserve">Once a rock has been placed in the chamber, the volume of the chamber is changed, resulting in a change in gas pressure around the rock.</w:t>
      </w:r>
      <w:r>
        <w:t xml:space="preserve"> </w:t>
      </w:r>
      <w:r>
        <w:t xml:space="preserve">The change in gas pressure is used to determine how much of the chamber is filled with gas (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).</w:t>
      </w:r>
      <w:r>
        <w:t xml:space="preserve"> </w:t>
      </w:r>
      <w:r>
        <w:t xml:space="preserve">The difference between</w:t>
      </w:r>
      <w:r>
        <w:t xml:space="preserve"> </w:t>
      </w:r>
      <m:oMath>
        <m:sSub>
          <m:e>
            <m:r>
              <m:t>V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represents the volume of solid material comprising the rock.</w:t>
      </w:r>
      <w:r>
        <w:t xml:space="preserve"> </w:t>
      </w:r>
      <w:r>
        <w:t xml:space="preserve">The skeletal density of the rock is therefore: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ρ</m:t>
              </m:r>
            </m:e>
            <m:sub>
              <m:r>
                <m:t>s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Gamma-Gamma Density Logging</w:t>
      </w:r>
    </w:p>
    <w:p>
      <w:pPr>
        <w:pStyle w:val="BodyText"/>
      </w:pPr>
      <w:r>
        <w:t xml:space="preserve">Gamma-gamma density logging is used to continuously record the bulk density of rock formation along a borehole.</w:t>
      </w:r>
      <w:r>
        <w:t xml:space="preserve"> </w:t>
      </w:r>
      <w:r>
        <w:t xml:space="preserve">For these measurements, gamma rays are emmitted by a radioactive source.</w:t>
      </w:r>
      <w:r>
        <w:t xml:space="preserve"> </w:t>
      </w:r>
      <w:r>
        <w:t xml:space="preserve">While transmitting through the adjacent rock, the gamma rays interact with electrons and undergo Compton scattering.</w:t>
      </w:r>
      <w:r>
        <w:t xml:space="preserve"> </w:t>
      </w:r>
      <w:r>
        <w:t xml:space="preserve">A detector within the borehole measures the intensity of the scattered gamma rays.</w:t>
      </w:r>
      <w:r>
        <w:t xml:space="preserve"> </w:t>
      </w:r>
      <w:r>
        <w:t xml:space="preserve">Gamma rays experience a higher level of Compton scattering in denser materials.</w:t>
      </w:r>
      <w:r>
        <w:t xml:space="preserve"> </w:t>
      </w:r>
      <w:r>
        <w:t xml:space="preserve">Therefore, the intensity of scattered signal can be used to obtain the bulk density of the rocks within the borehole.</w:t>
      </w:r>
    </w:p>
    <w:bookmarkEnd w:id="20"/>
    <w:bookmarkStart w:id="21" w:name="density-of-common-rocks"/>
    <w:p>
      <w:pPr>
        <w:pStyle w:val="Heading1"/>
      </w:pPr>
      <w:r>
        <w:t xml:space="preserve">Density of Common Rocks</w:t>
      </w:r>
    </w:p>
    <w:p>
      <w:pPr>
        <w:pStyle w:val="FirstParagraph"/>
      </w:pPr>
      <w:r>
        <w:t xml:space="preserve">Each rock type is defined by a range of density values (not a specific value). The densities for some common rocks, minerals, and other materials are summarized below.</w:t>
      </w:r>
      <w:r>
        <w:t xml:space="preserve"> </w:t>
      </w:r>
      <w:r>
        <w:t xml:space="preserve">Note that the density ranges for different rock types can overlap.</w:t>
      </w:r>
      <w:r>
        <w:t xml:space="preserve"> </w:t>
      </w:r>
      <w:r>
        <w:t xml:space="preserve">Some general comments pertaining to densities are:</w:t>
      </w:r>
    </w:p>
    <w:p>
      <w:pPr>
        <w:pStyle w:val="Compact"/>
        <w:numPr>
          <w:ilvl w:val="0"/>
          <w:numId w:val="1001"/>
        </w:numPr>
      </w:pPr>
      <w:r>
        <w:t xml:space="preserve">Igneous and metamorphic rock are generally more dense than sedimentary rocks.</w:t>
      </w:r>
    </w:p>
    <w:p>
      <w:pPr>
        <w:pStyle w:val="Compact"/>
        <w:numPr>
          <w:ilvl w:val="0"/>
          <w:numId w:val="1001"/>
        </w:numPr>
      </w:pPr>
      <w:r>
        <w:t xml:space="preserve">Mafic igneous rocks are generally more dense than felsic igneous rocks.</w:t>
      </w:r>
    </w:p>
    <w:p>
      <w:pPr>
        <w:pStyle w:val="Compact"/>
        <w:numPr>
          <w:ilvl w:val="0"/>
          <w:numId w:val="1001"/>
        </w:numPr>
      </w:pPr>
      <w:r>
        <w:t xml:space="preserve">Higher metamorphic grade rocks such as eclogite and amphibolite are more dense than low grade metamorphic rocks such as slate and phyllite.</w:t>
      </w:r>
    </w:p>
    <w:p>
      <w:pPr>
        <w:pStyle w:val="Compact"/>
        <w:numPr>
          <w:ilvl w:val="0"/>
          <w:numId w:val="1001"/>
        </w:numPr>
      </w:pPr>
      <w:r>
        <w:t xml:space="preserve">Metal ore-bearing rocks are generally much denser than other rock types. One exception is bauxite.</w:t>
      </w:r>
    </w:p>
    <w:p>
      <w:pPr>
        <w:pStyle w:val="FirstParagraph"/>
      </w:pPr>
      <w:r>
        <w:t xml:space="preserve">To see the range of densities for specific rock types, click the links in the table.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786"/>
        <w:gridCol w:w="31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Material</w:t>
            </w:r>
          </w:p>
        </w:tc>
        <w:tc>
          <w:tcPr/>
          <w:p>
            <w:pPr>
              <w:pStyle w:val="Compact"/>
            </w:pPr>
            <w:r>
              <w:t xml:space="preserve">Density Range (g/cm</w:t>
            </w:r>
            <w:r>
              <w:t xml:space="preserve"> 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Air</w:t>
            </w:r>
          </w:p>
        </w:tc>
        <w:tc>
          <w:tcPr/>
          <w:p>
            <w:pPr>
              <w:pStyle w:val="BlockText"/>
            </w:pPr>
            <w:r>
              <w:t xml:space="preserve">0.001225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Water</w:t>
            </w:r>
          </w:p>
        </w:tc>
        <w:tc>
          <w:tcPr/>
          <w:p>
            <w:pPr>
              <w:pStyle w:val="BlockTex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Ice</w:t>
            </w:r>
          </w:p>
        </w:tc>
        <w:tc>
          <w:tcPr/>
          <w:p>
            <w:pPr>
              <w:pStyle w:val="BlockText"/>
            </w:pPr>
            <w:r>
              <w:t xml:space="preserve">0.917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Petroleum</w:t>
            </w:r>
          </w:p>
        </w:tc>
        <w:tc>
          <w:tcPr/>
          <w:p>
            <w:pPr>
              <w:pStyle w:val="BlockText"/>
            </w:pPr>
            <w:r>
              <w:t xml:space="preserve">0.60 - 0.90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Sedimentary  Rocks&lt;table_density_sedimentary&gt;</w:t>
            </w:r>
          </w:p>
        </w:tc>
        <w:tc>
          <w:tcPr/>
          <w:p>
            <w:pPr>
              <w:pStyle w:val="BlockText"/>
            </w:pPr>
            <w:r>
              <w:t xml:space="preserve">1.50 -3.30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Igneous Rocks&lt;table_density_igneous&gt;</w:t>
            </w:r>
          </w:p>
        </w:tc>
        <w:tc>
          <w:tcPr/>
          <w:p>
            <w:pPr>
              <w:pStyle w:val="BlockText"/>
            </w:pPr>
            <w:r>
              <w:t xml:space="preserve">2.35 -3.50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Metamorphic Rocks&lt;table_density_metamorphic&gt;</w:t>
            </w:r>
          </w:p>
        </w:tc>
        <w:tc>
          <w:tcPr/>
          <w:p>
            <w:pPr>
              <w:pStyle w:val="BlockText"/>
            </w:pPr>
            <w:r>
              <w:t xml:space="preserve">2.52- 3.54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Ore-Bearing Rocks&lt;table_density_ore_bearing&gt;</w:t>
            </w:r>
          </w:p>
        </w:tc>
        <w:tc>
          <w:tcPr/>
          <w:p>
            <w:pPr>
              <w:pStyle w:val="BlockText"/>
            </w:pPr>
            <w:r>
              <w:t xml:space="preserve">2.30- 7.60</w:t>
            </w:r>
          </w:p>
        </w:tc>
      </w:tr>
    </w:tbl>
    <w:bookmarkEnd w:id="21"/>
    <w:bookmarkStart w:id="22" w:name="factors-impacting-rock-density"/>
    <w:p>
      <w:pPr>
        <w:pStyle w:val="Heading1"/>
      </w:pPr>
      <w:r>
        <w:t xml:space="preserve">Factors Impacting Rock Density</w:t>
      </w:r>
    </w:p>
    <w:p>
      <w:pPr>
        <w:pStyle w:val="FirstParagraph"/>
      </w:pPr>
      <w:r>
        <w:t xml:space="preserve">There are many factors which impact the bulk density of a rock.</w:t>
      </w:r>
      <w:r>
        <w:t xml:space="preserve"> </w:t>
      </w:r>
      <w:r>
        <w:t xml:space="preserve">Below are several important factors which you should be familiar with.</w:t>
      </w:r>
    </w:p>
    <w:p>
      <w:pPr>
        <w:pStyle w:val="BodyText"/>
      </w:pPr>
      <w:r>
        <w:rPr>
          <w:b/>
          <w:bCs/>
        </w:rPr>
        <w:t xml:space="preserve">Composition</w:t>
      </w:r>
    </w:p>
    <w:p>
      <w:pPr>
        <w:pStyle w:val="BodyText"/>
      </w:pPr>
      <w:r>
        <w:t xml:space="preserve">Composition impacts the density of all rock types.</w:t>
      </w:r>
      <w:r>
        <w:t xml:space="preserve"> </w:t>
      </w:r>
      <w:r>
        <w:t xml:space="preserve">Most common rocks are made up of sillicate minerals due to the abundance of silicon and oxygen in the Earth's crust.</w:t>
      </w:r>
      <w:r>
        <w:t xml:space="preserve"> </w:t>
      </w:r>
      <w:r>
        <w:t xml:space="preserve">The distinct densities of these rocks, however, are dictated by the abundances of other elements such as: aluminum, iron, calcium, sodium, potassium and magnesium.</w:t>
      </w:r>
    </w:p>
    <w:p>
      <w:pPr>
        <w:pStyle w:val="BodyText"/>
      </w:pPr>
      <w:r>
        <w:t xml:space="preserve">In igneous rocks, density generally decreases with respect to the % abundance of silica (Si0</w:t>
      </w:r>
      <w:r>
        <w:t xml:space="preserve"> 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) contained within the rock.</w:t>
      </w:r>
      <w:r>
        <w:t xml:space="preserve"> </w:t>
      </w:r>
      <w:r>
        <w:t xml:space="preserve">Using this relationship, igeneous rocks are classified as being felsic, intermediate, mafic or ultramafic.</w:t>
      </w:r>
      <w:r>
        <w:t xml:space="preserve"> </w:t>
      </w:r>
      <w:r>
        <w:t xml:space="preserve">Rocks with lower silica content (mafic) tend to contain higher abundances of heavier elements like magnesium and iron; making mafic rocks denser than rocks with a higher silica content (felsic).</w:t>
      </w:r>
      <w:r>
        <w:t xml:space="preserve"> </w:t>
      </w:r>
      <w:r>
        <w:t xml:space="preserve">This explains why the oceanic crust (mafic) is typically more dense than the continental crust (felsic).</w:t>
      </w:r>
      <w:r>
        <w:t xml:space="preserve"> </w:t>
      </w:r>
      <w:r>
        <w:t xml:space="preserve">The classification of igeneous rocks based on % silica content can be seen below:</w:t>
      </w:r>
    </w:p>
    <w:tbl>
      <w:tblPr>
        <w:tblStyle w:val="Table"/>
        <w:tblW w:type="pct" w:w="4306"/>
        <w:tblLayout w:type="fixed"/>
        <w:tblLook w:firstRow="1" w:lastRow="0" w:firstColumn="0" w:lastColumn="0" w:noHBand="0" w:noVBand="0" w:val="0020"/>
      </w:tblPr>
      <w:tblGrid>
        <w:gridCol w:w="2200"/>
        <w:gridCol w:w="34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Igneous Rock Type</w:t>
            </w:r>
          </w:p>
        </w:tc>
        <w:tc>
          <w:tcPr/>
          <w:p>
            <w:pPr>
              <w:pStyle w:val="Compact"/>
            </w:pPr>
            <w:r>
              <w:t xml:space="preserve">% Silica (SiO</w:t>
            </w:r>
            <w:r>
              <w:t xml:space="preserve"> </w:t>
            </w:r>
            <m:oMath>
              <m:sSub>
                <m:e>
                  <m:r>
                    <m:t>​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Density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Felsic</w:t>
            </w:r>
          </w:p>
        </w:tc>
        <w:tc>
          <w:tcPr/>
          <w:p>
            <w:pPr>
              <w:pStyle w:val="Compact"/>
            </w:pPr>
            <w:r>
              <w:t xml:space="preserve">65% &lt;</w:t>
            </w:r>
          </w:p>
        </w:tc>
        <w:tc>
          <w:tcPr/>
          <w:p>
            <w:pPr>
              <w:pStyle w:val="Compact"/>
            </w:pPr>
            <w:r>
              <w:t xml:space="preserve">Lowest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Indermediate</w:t>
            </w:r>
          </w:p>
        </w:tc>
        <w:tc>
          <w:tcPr/>
          <w:p>
            <w:pPr>
              <w:pStyle w:val="Compact"/>
            </w:pPr>
            <w:r>
              <w:t xml:space="preserve">55% - 65%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Mafic</w:t>
            </w:r>
          </w:p>
        </w:tc>
        <w:tc>
          <w:tcPr/>
          <w:p>
            <w:pPr>
              <w:pStyle w:val="Compact"/>
            </w:pPr>
            <w:r>
              <w:t xml:space="preserve">45% - 55%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Ultramafic</w:t>
            </w:r>
          </w:p>
        </w:tc>
        <w:tc>
          <w:tcPr/>
          <w:p>
            <w:pPr>
              <w:pStyle w:val="Compact"/>
            </w:pPr>
            <w:r>
              <w:t xml:space="preserve">&lt; 45%</w:t>
            </w:r>
          </w:p>
        </w:tc>
        <w:tc>
          <w:tcPr/>
          <w:p>
            <w:pPr>
              <w:pStyle w:val="Compact"/>
            </w:pPr>
            <w:r>
              <w:t xml:space="preserve">Highest</w:t>
            </w:r>
          </w:p>
        </w:tc>
      </w:tr>
    </w:tbl>
    <w:p>
      <w:pPr>
        <w:pStyle w:val="BodyText"/>
      </w:pPr>
      <w:r>
        <w:t xml:space="preserve">Similar relationships between composition and density are much harder to obtain for sedimentary and metamorphic rocks.</w:t>
      </w:r>
      <w:r>
        <w:t xml:space="preserve"> </w:t>
      </w:r>
      <w:r>
        <w:t xml:space="preserve">For sedimentary rocks, the density depends on the rock's parent material, which can be highly variable.</w:t>
      </w:r>
      <w:r>
        <w:t xml:space="preserve"> </w:t>
      </w:r>
      <w:r>
        <w:t xml:space="preserve">For metamorphic rocks, the density depends on the parent rock and the metamorphic alteration it has experienced.</w:t>
      </w:r>
    </w:p>
    <w:p>
      <w:pPr>
        <w:pStyle w:val="BodyText"/>
      </w:pPr>
      <w:r>
        <w:t xml:space="preserve">The oxide and sulphide minerals contained in ore-bearing rocks are much denser than typical rock forming minerals.</w:t>
      </w:r>
      <w:r>
        <w:t xml:space="preserve"> </w:t>
      </w:r>
      <w:r>
        <w:t xml:space="preserve">This is because ore-bearing rocks contain large quantities of heavy elements such as gold, silver, copper, lead and iron.</w:t>
      </w:r>
    </w:p>
    <w:p>
      <w:pPr>
        <w:pStyle w:val="BodyText"/>
      </w:pPr>
      <w:r>
        <w:rPr>
          <w:b/>
          <w:bCs/>
        </w:rPr>
        <w:t xml:space="preserve">Porosity</w:t>
      </w:r>
    </w:p>
    <w:p>
      <w:pPr>
        <w:pStyle w:val="BodyText"/>
      </w:pPr>
      <w:r>
        <w:t xml:space="preserve">Porosity primarily impacts the density of sedimentary and extrusive volcanic rocks, as the porosity of other rock types is generally very small.</w:t>
      </w:r>
      <w:r>
        <w:t xml:space="preserve"> </w:t>
      </w:r>
      <w:r>
        <w:t xml:space="preserve">Pore fluids, whether it be air, water, brine or petroleum, have much less density than rock forming minerals.</w:t>
      </w:r>
      <w:r>
        <w:t xml:space="preserve"> </w:t>
      </w:r>
      <w:r>
        <w:t xml:space="preserve">As a result, rock density decreases as porosity increases.</w:t>
      </w:r>
      <w:r>
        <w:t xml:space="preserve"> </w:t>
      </w:r>
      <w:r>
        <w:t xml:space="preserve">Because air, water, brine and petroleum have measureably different densities, the type of pore fluid also impacts the density of the rock.</w:t>
      </w:r>
    </w:p>
    <w:p>
      <w:pPr>
        <w:pStyle w:val="BodyText"/>
      </w:pPr>
      <w:r>
        <w:rPr>
          <w:b/>
          <w:bCs/>
        </w:rPr>
        <w:t xml:space="preserve">Pressure</w:t>
      </w:r>
    </w:p>
    <w:p>
      <w:pPr>
        <w:pStyle w:val="BodyText"/>
      </w:pPr>
      <w:r>
        <w:t xml:space="preserve">Sedimentary rocks can experience significant pressure from overlying geological units.</w:t>
      </w:r>
      <w:r>
        <w:t xml:space="preserve"> </w:t>
      </w:r>
      <w:r>
        <w:t xml:space="preserve">In sedimentary rocks, compressional forces are responsible for reducing the pore space.</w:t>
      </w:r>
      <w:r>
        <w:t xml:space="preserve"> </w:t>
      </w:r>
      <w:r>
        <w:t xml:space="preserve">The reduction in pore space ultimately results in a higher density for the rock.</w:t>
      </w:r>
      <w:r>
        <w:t xml:space="preserve"> </w:t>
      </w:r>
      <w:r>
        <w:t xml:space="preserve">This is explains why sediments at the bottom of a basin are typically denser than those at the top.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Density</dc:title>
  <dc:creator/>
  <cp:keywords/>
  <dcterms:created xsi:type="dcterms:W3CDTF">2025-01-16T09:29:15Z</dcterms:created>
  <dcterms:modified xsi:type="dcterms:W3CDTF">2025-01-16T09:29:15Z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