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Dielectric Permittivity</w:t>
      </w:r>
    </w:p>
    <w:p>
      <w:pPr>
        <w:pStyle w:val="FirstParagraph"/>
      </w:pPr>
      <w:r>
        <w:t xml:space="preserve">Dielectric permittivity (</w:t>
      </w:r>
      <m:oMath>
        <m:r>
          <m:t>ε</m:t>
        </m:r>
      </m:oMath>
      <w:r>
        <w:t xml:space="preserve">) represents an important diagnostic physical property for ground-penetrating radar.</w:t>
      </w:r>
      <w:r>
        <w:t xml:space="preserve"> </w:t>
      </w:r>
      <w:r>
        <w:t xml:space="preserve">This physical property impacts the attenuation, wavelength and velocity of electromagnetic waves as they propagate through a material.</w:t>
      </w:r>
      <w:r>
        <w:t xml:space="preserve"> </w:t>
      </w:r>
      <w:r>
        <w:t xml:space="preserve">Dielectric permittivity is defined as the ratio between the electric field (</w:t>
      </w:r>
      <m:oMath>
        <m:acc>
          <m:accPr>
            <m:chr m:val="⃗"/>
          </m:accPr>
          <m:e>
            <m:r>
              <m:t>E</m:t>
            </m:r>
          </m:e>
        </m:acc>
      </m:oMath>
      <w:r>
        <w:t xml:space="preserve">) within a material and the corresponding electric displacement (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./images/electric_polarization_physics_diagram.png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D</m:t>
              </m:r>
            </m:e>
          </m:acc>
          <m:r>
            <m:rPr>
              <m:sty m:val="p"/>
            </m:rPr>
            <m:t>=</m:t>
          </m:r>
          <m:r>
            <m:t>ε</m:t>
          </m:r>
          <m:acc>
            <m:accPr>
              <m:chr m:val="⃗"/>
            </m:accPr>
            <m:e>
              <m:r>
                <m:t>E</m:t>
              </m:r>
            </m:e>
          </m:acc>
        </m:oMath>
      </m:oMathPara>
    </w:p>
    <w:p>
      <w:pPr>
        <w:pStyle w:val="FirstParagraph"/>
      </w:pPr>
      <w:r>
        <w:t xml:space="preserve">When exposed to an electric field, positive and negative charges within individual atoms and molecules try to separate from one another.</w:t>
      </w:r>
      <w:r>
        <w:t xml:space="preserve"> </w:t>
      </w:r>
      <w:r>
        <w:t xml:space="preserve">For example, the electron clouds of atoms will shift in position relative to their nuclei.</w:t>
      </w:r>
      <w:r>
        <w:t xml:space="preserve"> </w:t>
      </w:r>
      <w:r>
        <w:t xml:space="preserve">The extent of electrical charge separation within a material is represented by the electric polarization (</w:t>
      </w:r>
      <m:oMath>
        <m:acc>
          <m:accPr>
            <m:chr m:val="⃗"/>
          </m:accPr>
          <m:e>
            <m:r>
              <m:t>P</m:t>
            </m:r>
          </m:e>
        </m:acc>
      </m:oMath>
      <w:r>
        <w:t xml:space="preserve">).</w:t>
      </w:r>
      <w:r>
        <w:t xml:space="preserve"> </w:t>
      </w:r>
      <w:r>
        <w:t xml:space="preserve">The electric field, electric displacement and electric polarization are related by the following expression: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D</m:t>
              </m:r>
            </m:e>
          </m:acc>
          <m:r>
            <m:rPr>
              <m:sty m:val="p"/>
            </m:rPr>
            <m:t>=</m:t>
          </m:r>
          <m:sSub>
            <m:e>
              <m:r>
                <m:t>ε</m:t>
              </m:r>
            </m:e>
            <m:sub>
              <m:r>
                <m:t>0</m:t>
              </m:r>
            </m:sub>
          </m:sSub>
          <m:acc>
            <m:accPr>
              <m:chr m:val="⃗"/>
            </m:accPr>
            <m:e>
              <m:r>
                <m:t>E</m:t>
              </m:r>
            </m:e>
          </m:acc>
          <m:r>
            <m:rPr>
              <m:sty m:val="p"/>
            </m:rPr>
            <m:t>+</m:t>
          </m:r>
          <m:acc>
            <m:accPr>
              <m:chr m:val="⃗"/>
            </m:accPr>
            <m:e>
              <m:r>
                <m:t>P</m:t>
              </m:r>
            </m:e>
          </m:acc>
        </m:oMath>
      </m:oMathPara>
    </w:p>
    <w:p>
      <w:pPr>
        <w:pStyle w:val="FirstParagraph"/>
      </w:pPr>
      <w:r>
        <w:t xml:space="preserve">where the permittivity of free-space (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8.8541878176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 </w:t>
      </w:r>
      <w:r>
        <w:t xml:space="preserve">F/m) defines the relationship between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</m:e>
        </m:acc>
      </m:oMath>
      <w:r>
        <w:t xml:space="preserve"> </w:t>
      </w:r>
      <w:r>
        <w:t xml:space="preserve">if the material is non-polarizable.</w:t>
      </w:r>
      <w:r>
        <w:t xml:space="preserve"> </w:t>
      </w:r>
      <w:r>
        <w:t xml:space="preserve">Therefore, the dielectric permittivity and the electric displacement define how strongly a material becomes electrically polarized under the influence of an electric field.</w:t>
      </w:r>
      <w:r>
        <w:t xml:space="preserve"> </w:t>
      </w:r>
      <w:r>
        <w:t xml:space="preserve">The electrical polarization within the material can be defined in terms of the electric field as follows: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P</m:t>
              </m:r>
            </m:e>
          </m:acc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ε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ε</m:t>
                  </m:r>
                </m:e>
                <m:sub>
                  <m:r>
                    <m:t>0</m:t>
                  </m:r>
                </m:sub>
              </m:sSub>
            </m:e>
          </m:d>
          <m:acc>
            <m:accPr>
              <m:chr m:val="⃗"/>
            </m:accPr>
            <m:e>
              <m:r>
                <m:t>E</m:t>
              </m:r>
            </m:e>
          </m:acc>
          <m:r>
            <m:rPr>
              <m:sty m:val="p"/>
            </m:rPr>
            <m:t>=</m:t>
          </m:r>
          <m:sSub>
            <m:e>
              <m:r>
                <m:t>χ</m:t>
              </m:r>
            </m:e>
            <m:sub>
              <m:r>
                <m:t>e</m:t>
              </m:r>
            </m:sub>
          </m:sSub>
          <m:sSub>
            <m:e>
              <m:r>
                <m:t>ε</m:t>
              </m:r>
            </m:e>
            <m:sub>
              <m:r>
                <m:t>0</m:t>
              </m:r>
            </m:sub>
          </m:sSub>
          <m:acc>
            <m:accPr>
              <m:chr m:val="⃗"/>
            </m:accPr>
            <m:e>
              <m:r>
                <m:t>E</m:t>
              </m:r>
            </m:e>
          </m:acc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χ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is known as the electric susceptibility.</w:t>
      </w:r>
      <w:r>
        <w:t xml:space="preserve"> </w:t>
      </w:r>
      <w:r>
        <w:t xml:space="preserve">The electric susceptibility should not be confused with the magnetic susceptibility, as they describe different physical processes.</w:t>
      </w:r>
    </w:p>
    <w:p>
      <w:pPr>
        <w:pStyle w:val="BodyText"/>
      </w:pPr>
      <w:r>
        <w:rPr>
          <w:b/>
          <w:bCs/>
        </w:rPr>
        <w:t xml:space="preserve">Relative Permittivity</w:t>
      </w:r>
      <w:r>
        <w:t xml:space="preserve">: The dielectric properties of materials are generally expressed using the relative permittivity (</w:t>
      </w:r>
      <m:oMath>
        <m:sSub>
          <m:e>
            <m:r>
              <m:t>ε</m:t>
            </m:r>
          </m:e>
          <m:sub>
            <m:r>
              <m:t>r</m:t>
            </m:r>
          </m:sub>
        </m:sSub>
      </m:oMath>
      <w:r>
        <w:t xml:space="preserve">).</w:t>
      </w:r>
      <w:r>
        <w:t xml:space="preserve"> </w:t>
      </w:r>
      <w:r>
        <w:t xml:space="preserve">The relative permittivity defines the dielectric properties of a material relative to that of free-space: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ε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ε</m:t>
              </m:r>
            </m:num>
            <m:den>
              <m:sSub>
                <m:e>
                  <m:r>
                    <m:t>ε</m:t>
                  </m:r>
                </m:e>
                <m:sub>
                  <m:r>
                    <m:t>0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Parameters used to define the dielectric properties of materials and their associated units are tabulated below.</w:t>
      </w:r>
    </w:p>
    <w:tbl>
      <w:tblPr>
        <w:tblStyle w:val="Table"/>
        <w:tblW w:type="pct" w:w="4939"/>
        <w:tblLayout w:type="fixed"/>
        <w:tblLook w:firstRow="1" w:lastRow="0" w:firstColumn="0" w:lastColumn="0" w:noHBand="0" w:noVBand="0" w:val="0020"/>
      </w:tblPr>
      <w:tblGrid>
        <w:gridCol w:w="2511"/>
        <w:gridCol w:w="3477"/>
        <w:gridCol w:w="183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Property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Symbol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Electric Field</w:t>
            </w:r>
          </w:p>
        </w:tc>
        <w:tc>
          <w:tcPr/>
          <w:p>
            <w:pPr>
              <w:pStyle w:val="Compact"/>
            </w:pPr>
            <m:oMath>
              <m:acc>
                <m:accPr>
                  <m:chr m:val="⃗"/>
                </m:accPr>
                <m:e>
                  <m:r>
                    <m:t>E</m:t>
                  </m:r>
                </m:e>
              </m:acc>
            </m:oMath>
          </w:p>
        </w:tc>
        <w:tc>
          <w:tcPr/>
          <w:p>
            <w:pPr>
              <w:pStyle w:val="Compact"/>
            </w:pPr>
            <w:r>
              <w:t xml:space="preserve">N/C or V/m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Displacement Current</w:t>
            </w:r>
          </w:p>
        </w:tc>
        <w:tc>
          <w:tcPr/>
          <w:p>
            <w:pPr>
              <w:pStyle w:val="Compact"/>
            </w:pPr>
            <m:oMath>
              <m:acc>
                <m:accPr>
                  <m:chr m:val="⃗"/>
                </m:accPr>
                <m:e>
                  <m:r>
                    <m:t>D</m:t>
                  </m:r>
                </m:e>
              </m:acc>
            </m:oMath>
          </w:p>
        </w:tc>
        <w:tc>
          <w:tcPr/>
          <w:p>
            <w:pPr>
              <w:pStyle w:val="Compact"/>
            </w:pPr>
            <w:r>
              <w:t xml:space="preserve">A/m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w:r>
              <w:t xml:space="preserve">Electric Polarization</w:t>
            </w:r>
          </w:p>
        </w:tc>
        <w:tc>
          <w:tcPr/>
          <w:p>
            <w:pPr>
              <w:pStyle w:val="Compact"/>
            </w:pPr>
            <m:oMath>
              <m:acc>
                <m:accPr>
                  <m:chr m:val="⃗"/>
                </m:accPr>
                <m:e>
                  <m:r>
                    <m:t>P</m:t>
                  </m:r>
                </m:e>
              </m:acc>
            </m:oMath>
          </w:p>
        </w:tc>
        <w:tc>
          <w:tcPr/>
          <w:p>
            <w:pPr>
              <w:pStyle w:val="Compact"/>
            </w:pPr>
            <w:r>
              <w:t xml:space="preserve">A/m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w:r>
              <w:t xml:space="preserve">Dielectric Permittivity</w:t>
            </w:r>
          </w:p>
        </w:tc>
        <w:tc>
          <w:tcPr/>
          <w:p>
            <w:pPr>
              <w:pStyle w:val="Compact"/>
            </w:pPr>
            <m:oMath>
              <m:r>
                <m:t>ε</m:t>
              </m:r>
            </m:oMath>
          </w:p>
        </w:tc>
        <w:tc>
          <w:tcPr/>
          <w:p>
            <w:pPr>
              <w:pStyle w:val="Compact"/>
            </w:pPr>
            <w:r>
              <w:t xml:space="preserve">F/m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Electric Susceptibility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χ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Unitless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Relative Permittivity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ε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Unitless</w:t>
            </w:r>
          </w:p>
        </w:tc>
      </w:tr>
    </w:tbl>
    <w:bookmarkStart w:id="20" w:name="measurements-for-dielectric-permittivity"/>
    <w:p>
      <w:pPr>
        <w:pStyle w:val="Heading1"/>
      </w:pPr>
      <w:r>
        <w:t xml:space="preserve">Measurements for Dielectric Permittivity</w:t>
      </w:r>
    </w:p>
    <w:p>
      <w:pPr>
        <w:pStyle w:val="FirstParagraph"/>
      </w:pPr>
      <w:r>
        <w:t xml:space="preserve">There are a host of methods for measuring the dielectric permittivity of a material.</w:t>
      </w:r>
      <w:r>
        <w:t xml:space="preserve"> </w:t>
      </w:r>
      <w:r>
        <w:t xml:space="preserve">Here, we will describe two basic experiments.</w:t>
      </w:r>
      <w:r>
        <w:t xml:space="preserve"> </w:t>
      </w:r>
      <w:r>
        <w:t xml:space="preserve">These experiments assume that 1) the sample is non-magnetic (i.e.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) and 2) the conductivity of the sample is sufficiently small (</w:t>
      </w:r>
      <m:oMath>
        <m:r>
          <m:t>σ</m:t>
        </m:r>
        <m:r>
          <m:rPr>
            <m:sty m:val="p"/>
          </m:rPr>
          <m:t>&lt;</m:t>
        </m:r>
        <m:r>
          <m:t>0.01</m:t>
        </m:r>
      </m:oMath>
      <w:r>
        <w:t xml:space="preserve">).</w:t>
      </w:r>
    </w:p>
    <w:p>
      <w:pPr>
        <w:pStyle w:val="BodyText"/>
      </w:pPr>
      <w:r>
        <w:rPr>
          <w:b/>
          <w:bCs/>
        </w:rPr>
        <w:t xml:space="preserve">Transmission Time Measurements</w:t>
      </w:r>
    </w:p>
    <w:p>
      <w:pPr>
        <w:pStyle w:val="BodyText"/>
      </w:pPr>
      <w:r>
        <w:t xml:space="preserve">The speed at which high-frequency electromagnetic (EM) waves move through a material depends on the material's dielectric permittivity.</w:t>
      </w:r>
      <w:r>
        <w:t xml:space="preserve"> </w:t>
      </w:r>
      <w:r>
        <w:t xml:space="preserve">Assuming the material is non-magnetic, this relationship is given by: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ad>
                <m:radPr>
                  <m:degHide m:val="on"/>
                </m:radPr>
                <m:deg/>
                <m:e>
                  <m:sSub>
                    <m:e>
                      <m:r>
                        <m:t>ε</m:t>
                      </m:r>
                    </m:e>
                    <m:sub>
                      <m:r>
                        <m:t>r</m:t>
                      </m:r>
                    </m:sub>
                  </m:sSub>
                </m:e>
              </m:rad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ε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is the relative permittivity 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2.998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m/s is the speed light constant.</w:t>
      </w:r>
      <w:r>
        <w:t xml:space="preserve"> </w:t>
      </w:r>
      <w:r>
        <w:t xml:space="preserve">In free-space,</w:t>
      </w:r>
      <w:r>
        <w:t xml:space="preserve"> </w:t>
      </w:r>
      <m:oMath>
        <m:sSub>
          <m:e>
            <m:r>
              <m:t>ε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EM waves travel at the speed of light.</w:t>
      </w:r>
      <w:r>
        <w:t xml:space="preserve"> </w:t>
      </w:r>
      <w:r>
        <w:t xml:space="preserve">However, within a dielectric material, EM waves propagate more slowly according to the above relationship.</w:t>
      </w:r>
    </w:p>
    <w:p>
      <w:pPr>
        <w:pStyle w:val="BodyText"/>
      </w:pPr>
      <w:r>
        <w:t xml:space="preserve">When performing physical property measurements, a source sends EM waves towards a sample.</w:t>
      </w:r>
      <w:r>
        <w:t xml:space="preserve"> </w:t>
      </w:r>
      <w:r>
        <w:t xml:space="preserve">A portion of these waves transmit through the sample and reach a sensor on the other side.</w:t>
      </w:r>
      <w:r>
        <w:t xml:space="preserve"> </w:t>
      </w:r>
      <w:r>
        <w:t xml:space="preserve">For samples that have high dielectric permittivities, it will take much longer for the signal to arrive at the sensor.</w:t>
      </w:r>
      <w:r>
        <w:t xml:space="preserve"> </w:t>
      </w:r>
      <w:r>
        <w:t xml:space="preserve">This is because the transmitted waves slow down as they propagates through the sample.</w:t>
      </w:r>
      <w:r>
        <w:t xml:space="preserve"> </w:t>
      </w:r>
      <w:r>
        <w:t xml:space="preserve">An equation for the total travel time (</w:t>
      </w:r>
      <m:oMath>
        <m:r>
          <m:t>Δ</m:t>
        </m:r>
        <m:r>
          <m:t>t</m:t>
        </m:r>
      </m:oMath>
      <w:r>
        <w:t xml:space="preserve">) for transmitted EM waves as the go from the source to the receiver is given by: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rPr>
                  <m:sty m:val="p"/>
                </m:rPr>
                <m:t>−</m:t>
              </m:r>
              <m:r>
                <m:t>Δ</m:t>
              </m:r>
              <m:r>
                <m:t>x</m:t>
              </m:r>
            </m:num>
            <m:den>
              <m:r>
                <m:t>c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distance from the source to the receiver,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is the length of the sample,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speed of light and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the velocity of the waves as they propagate through the material.</w:t>
      </w:r>
      <w:r>
        <w:t xml:space="preserve"> </w:t>
      </w:r>
      <w:r>
        <w:t xml:space="preserve">Using the signal measured by the receiver, we can determine the total travel time for the transmitted EM waves.</w:t>
      </w:r>
      <w:r>
        <w:t xml:space="preserve"> </w:t>
      </w:r>
      <w:r>
        <w:t xml:space="preserve">By combining the previous two equations and solving for the relative permittivity: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ε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  <m:r>
                <m:t>Δ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L</m:t>
              </m:r>
            </m:num>
            <m:den>
              <m:r>
                <m:t>Δ</m:t>
              </m:r>
              <m:r>
                <m:t>x</m:t>
              </m:r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./images/permittivity_transmission_measurements.png</w:t>
            </w:r>
          </w:p>
        </w:tc>
      </w:tr>
    </w:tbl>
    <w:p>
      <w:pPr>
        <w:pStyle w:val="BodyText"/>
      </w:pPr>
      <w:r>
        <w:rPr>
          <w:b/>
          <w:bCs/>
        </w:rPr>
        <w:t xml:space="preserve">Reflection Coefficient Measurements</w:t>
      </w:r>
    </w:p>
    <w:p>
      <w:pPr>
        <w:pStyle w:val="BodyText"/>
      </w:pPr>
      <w:r>
        <w:t xml:space="preserve">When EM waves meet an interface, some of their energy is reflected and some of their energy is transmitted.</w:t>
      </w:r>
      <w:r>
        <w:t xml:space="preserve"> </w:t>
      </w:r>
      <w:r>
        <w:t xml:space="preserve">For high-frequency EM waves, the proportion of energy which is reflected depends on the dielectric properties of the materials comprising the interface.</w:t>
      </w:r>
      <w:r>
        <w:t xml:space="preserve"> </w:t>
      </w:r>
      <w:r>
        <w:t xml:space="preserve">This relationship is generally characterized by a reflection coefficient.</w:t>
      </w:r>
      <w:r>
        <w:t xml:space="preserve"> </w:t>
      </w:r>
      <w:r>
        <w:t xml:space="preserve">The reflection coefficient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defines the ratio between the amplitude of the reflected wave and the amplitude of the incoming wave: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f</m:t>
                  </m:r>
                </m:sub>
              </m:sSub>
            </m:num>
            <m:den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c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Below is a diagram for a simplified experiment.</w:t>
      </w:r>
      <w:r>
        <w:t xml:space="preserve"> </w:t>
      </w:r>
      <w:r>
        <w:t xml:space="preserve">In this experiment, a source generates EM waves which are reflected due to a difference in dielectric permittivity.</w:t>
      </w:r>
      <w:r>
        <w:t xml:space="preserve"> </w:t>
      </w:r>
      <w:r>
        <w:t xml:space="preserve">The reflected waves are measured by a sensor.</w:t>
      </w:r>
      <w:r>
        <w:t xml:space="preserve"> </w:t>
      </w:r>
      <w:r>
        <w:t xml:space="preserve">Assuming the incoming waves have a zero incidence angle relative to the interface, the reflection coefficient is given by: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sSub>
                    <m:e>
                      <m:r>
                        <m:t>ε</m:t>
                      </m:r>
                    </m:e>
                    <m:sub>
                      <m:r>
                        <m:t>r</m:t>
                      </m:r>
                    </m:sub>
                  </m:sSub>
                </m:e>
              </m:ra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sSub>
                    <m:e>
                      <m:r>
                        <m:t>ε</m:t>
                      </m:r>
                    </m:e>
                    <m:sub>
                      <m:r>
                        <m:t>r</m:t>
                      </m:r>
                    </m:sub>
                  </m:sSub>
                </m:e>
              </m:rad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ε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is the relative permittivity of the sample.</w:t>
      </w:r>
      <w:r>
        <w:t xml:space="preserve"> </w:t>
      </w:r>
      <w:r>
        <w:t xml:space="preserve">From the source, it is trivial to determine the amplitude of incident EM waves at the interface.</w:t>
      </w:r>
      <w:r>
        <w:t xml:space="preserve"> </w:t>
      </w:r>
      <w:r>
        <w:t xml:space="preserve">Using the sensor, we may also determine the amplitude of reflected EM waves at the interface.</w:t>
      </w:r>
      <w:r>
        <w:t xml:space="preserve"> </w:t>
      </w:r>
      <w:r>
        <w:t xml:space="preserve">If both amplitudes are known, the first equation may be used to determine the reflection coefficient.</w:t>
      </w:r>
      <w:r>
        <w:t xml:space="preserve"> </w:t>
      </w:r>
      <w:r>
        <w:t xml:space="preserve">Once obtained, the second equation may be used to solve for the relative permittivity of the sample.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./images/permittivity_reflection_measurements.png</w:t>
            </w:r>
          </w:p>
        </w:tc>
      </w:tr>
    </w:tbl>
    <w:bookmarkEnd w:id="20"/>
    <w:bookmarkStart w:id="21" w:name="electrical-permittivity-for-common-rocks"/>
    <w:p>
      <w:pPr>
        <w:pStyle w:val="Heading1"/>
      </w:pPr>
      <w:r>
        <w:t xml:space="preserve">Electrical Permittivity for Common Rocks</w:t>
      </w:r>
    </w:p>
    <w:p>
      <w:pPr>
        <w:pStyle w:val="FirstParagraph"/>
      </w:pPr>
      <w:r>
        <w:t xml:space="preserve">A table containing the relative permittivities for common rocks, soils and other materials is shown below (Martinez and Byrnes, 2001).</w:t>
      </w:r>
      <w:r>
        <w:t xml:space="preserve"> </w:t>
      </w:r>
      <w:r>
        <w:t xml:space="preserve">Rocks within a certain classification vary significantly in composition.</w:t>
      </w:r>
      <w:r>
        <w:t xml:space="preserve"> </w:t>
      </w:r>
      <w:r>
        <w:t xml:space="preserve">As a result, the relative permittivities of rock types are given as a range of values.</w:t>
      </w:r>
      <w:r>
        <w:t xml:space="preserve"> </w:t>
      </w:r>
      <w:r>
        <w:t xml:space="preserve">By examining this table, several things can be inferred:</w:t>
      </w:r>
    </w:p>
    <w:p>
      <w:pPr>
        <w:pStyle w:val="Compact"/>
        <w:numPr>
          <w:ilvl w:val="0"/>
          <w:numId w:val="1001"/>
        </w:numPr>
      </w:pPr>
      <w:r>
        <w:t xml:space="preserve">Water has a much higher dielectric permittivity than rock forming minerals.</w:t>
      </w:r>
    </w:p>
    <w:p>
      <w:pPr>
        <w:pStyle w:val="Compact"/>
        <w:numPr>
          <w:ilvl w:val="0"/>
          <w:numId w:val="1001"/>
        </w:numPr>
      </w:pPr>
      <w:r>
        <w:t xml:space="preserve">Water saturated rocks have larger dielectric permittivities than dry rocks.</w:t>
      </w:r>
    </w:p>
    <w:p>
      <w:pPr>
        <w:pStyle w:val="Compact"/>
        <w:numPr>
          <w:ilvl w:val="0"/>
          <w:numId w:val="1001"/>
        </w:numPr>
      </w:pPr>
      <w:r>
        <w:t xml:space="preserve">Saturated sediments generally have larger dielectric permittivities than hard rocks.</w:t>
      </w:r>
    </w:p>
    <w:p>
      <w:pPr>
        <w:pStyle w:val="Compact"/>
        <w:numPr>
          <w:ilvl w:val="0"/>
          <w:numId w:val="1001"/>
        </w:numPr>
      </w:pPr>
      <w:r>
        <w:t xml:space="preserve">The variation in dielectric permittivity for sediments is larger than it is for hard rocks.</w:t>
      </w:r>
    </w:p>
    <w:tbl>
      <w:tblPr>
        <w:tblStyle w:val="Table"/>
        <w:tblW w:type="pct" w:w="4940"/>
        <w:tblLayout w:type="fixed"/>
        <w:tblLook w:firstRow="1" w:lastRow="0" w:firstColumn="0" w:lastColumn="0" w:noHBand="0" w:noVBand="0" w:val="0020"/>
      </w:tblPr>
      <w:tblGrid>
        <w:gridCol w:w="2828"/>
        <w:gridCol w:w="2640"/>
        <w:gridCol w:w="2357"/>
      </w:tblGrid>
      <w:tr>
        <w:trPr>
          <w:tblHeader w:val="on"/>
        </w:trPr>
        <w:tc>
          <w:tcPr>
            <w:gridSpan w:val="2"/>
          </w:tcPr>
          <w:p>
            <w:pPr>
              <w:pStyle w:val="Compact"/>
            </w:pPr>
            <w:r>
              <w:rPr>
                <w:b/>
                <w:bCs/>
              </w:rPr>
              <w:t xml:space="preserve">Material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ε</m:t>
                  </m:r>
                </m:e>
                <m:sub>
                  <m:r>
                    <m:t>r</m:t>
                  </m:r>
                </m:sub>
              </m:sSub>
              <m:r>
                <m:t> </m:t>
              </m:r>
            </m:oMath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t xml:space="preserve">Air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t xml:space="preserve">Fresh Water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t xml:space="preserve">Sea Water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Style w:val="VerbatimChar"/>
              </w:rPr>
              <w:t xml:space="preserve">Ice, Snow, Permafrost&lt;table_permittivity_frozen&gt;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Style w:val="VerbatimChar"/>
              </w:rPr>
              <w:t xml:space="preserve">Sediments&lt;table_permittivity_sediments&gt;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Style w:val="VerbatimChar"/>
              </w:rPr>
              <w:t xml:space="preserve">Rocks&lt;table_permittivity_rocks&gt;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Style w:val="VerbatimChar"/>
              </w:rPr>
              <w:t xml:space="preserve">Minerals&lt;table_permittivity_minerals&gt;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factors-impacting-electric-permittivity"/>
    <w:p>
      <w:pPr>
        <w:pStyle w:val="Heading1"/>
      </w:pPr>
      <w:r>
        <w:t xml:space="preserve">Factors Impacting Electric Permittivity</w:t>
      </w:r>
    </w:p>
    <w:p>
      <w:pPr>
        <w:pStyle w:val="FirstParagraph"/>
      </w:pPr>
      <w:r>
        <w:rPr>
          <w:b/>
          <w:bCs/>
        </w:rPr>
        <w:t xml:space="preserve">Porosity and Water Saturation</w:t>
      </w:r>
      <w:r>
        <w:t xml:space="preserve">:</w:t>
      </w:r>
    </w:p>
    <w:p>
      <w:pPr>
        <w:pStyle w:val="BodyText"/>
      </w:pPr>
      <w:r>
        <w:t xml:space="preserve">By far the most important factors in determining a rock's dielectric permittivity are porosity and water saturation.</w:t>
      </w:r>
      <w:r>
        <w:t xml:space="preserve"> </w:t>
      </w:r>
      <w:r>
        <w:t xml:space="preserve">Air has a relative permittivity of 1 whereas common rock forming minerals have much higher relative permittivities.</w:t>
      </w:r>
      <w:r>
        <w:t xml:space="preserve"> </w:t>
      </w:r>
      <w:r>
        <w:t xml:space="preserve">This means that for dry samples, the rock's bulk dielectric permittivity decreases as the porosity increases.</w:t>
      </w:r>
    </w:p>
    <w:p>
      <w:pPr>
        <w:pStyle w:val="BodyText"/>
      </w:pPr>
      <w:r>
        <w:t xml:space="preserve">When rock samples are saturated with water, their dielectric permittivities can increase drastically.</w:t>
      </w:r>
      <w:r>
        <w:t xml:space="preserve"> </w:t>
      </w:r>
      <w:r>
        <w:t xml:space="preserve">This is because water has a relative permittivity of 80, which is much higher than the relative permittivities of rock forming minerals.</w:t>
      </w:r>
      <w:r>
        <w:t xml:space="preserve"> </w:t>
      </w:r>
      <w:r>
        <w:t xml:space="preserve">As a result, the bulk dielectric permittivity of a rock increases as pore water saturation increases.</w:t>
      </w:r>
    </w:p>
    <w:p>
      <w:pPr>
        <w:pStyle w:val="BodyText"/>
      </w:pPr>
      <w:r>
        <w:t xml:space="preserve">The relationship between a rock's bulk dielectric permittivity, porosity and water saturation is given by: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ε</m:t>
              </m:r>
            </m:e>
          </m:ra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ϕ</m:t>
              </m:r>
            </m:e>
          </m:d>
          <m:rad>
            <m:radPr>
              <m:degHide m:val="on"/>
            </m:radPr>
            <m:deg/>
            <m:e>
              <m:sSub>
                <m:e>
                  <m:r>
                    <m:t>ε</m:t>
                  </m:r>
                </m:e>
                <m:sub>
                  <m:r>
                    <m:t>m</m:t>
                  </m:r>
                </m:sub>
              </m:sSub>
            </m:e>
          </m:rad>
          <m:r>
            <m:rPr>
              <m:sty m:val="p"/>
            </m:rPr>
            <m:t>+</m:t>
          </m:r>
          <m:r>
            <m:t>ϕ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w</m:t>
                  </m:r>
                </m:sub>
              </m:sSub>
              <m:rad>
                <m:radPr>
                  <m:degHide m:val="on"/>
                </m:radPr>
                <m:deg/>
                <m:e>
                  <m:sSub>
                    <m:e>
                      <m:r>
                        <m:t>ε</m:t>
                      </m:r>
                    </m:e>
                    <m:sub>
                      <m:r>
                        <m:t>w</m:t>
                      </m:r>
                    </m:sub>
                  </m:sSub>
                </m:e>
              </m:rad>
              <m:r>
                <m:rPr>
                  <m:sty m:val="p"/>
                </m:rPr>
                <m:t>+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w</m:t>
                      </m:r>
                    </m:sub>
                  </m:sSub>
                </m:e>
              </m:d>
              <m:rad>
                <m:radPr>
                  <m:degHide m:val="on"/>
                </m:radPr>
                <m:deg/>
                <m:e>
                  <m:sSub>
                    <m:e>
                      <m:r>
                        <m:t>ε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rad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ilvl w:val="0"/>
          <w:numId w:val="1002"/>
        </w:numPr>
      </w:pPr>
      <m:oMath>
        <m:r>
          <m:t>0</m:t>
        </m:r>
        <m:r>
          <m:rPr>
            <m:sty m:val="p"/>
          </m:rPr>
          <m:t>≤</m:t>
        </m:r>
        <m:r>
          <m:t>ϕ</m:t>
        </m:r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is the porosity</w:t>
      </w:r>
    </w:p>
    <w:p>
      <w:pPr>
        <w:pStyle w:val="Compact"/>
        <w:numPr>
          <w:ilvl w:val="0"/>
          <w:numId w:val="1002"/>
        </w:numPr>
      </w:pPr>
      <m:oMath>
        <m:r>
          <m:t>0</m:t>
        </m:r>
        <m:r>
          <m:rPr>
            <m:sty m:val="p"/>
          </m:rPr>
          <m:t>≤</m:t>
        </m:r>
        <m:sSub>
          <m:e>
            <m:r>
              <m:t>S</m:t>
            </m:r>
          </m:e>
          <m:sub>
            <m:r>
              <m:t>w</m:t>
            </m:r>
          </m:sub>
        </m:sSub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is the factional volume of the pore space saturated by water.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ε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is the dielectric permittivity of rock forming minerals.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ε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the dielectric permittivity of air (equal to free-space).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ε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is the dielectric permittivity of water.</w:t>
      </w:r>
    </w:p>
    <w:p>
      <w:pPr>
        <w:pStyle w:val="FirstParagraph"/>
      </w:pPr>
      <w:r>
        <w:rPr>
          <w:b/>
          <w:bCs/>
        </w:rPr>
        <w:t xml:space="preserve">Frequency</w:t>
      </w:r>
      <w:r>
        <w:t xml:space="preserve">:</w:t>
      </w:r>
    </w:p>
    <w:p>
      <w:pPr>
        <w:pStyle w:val="BodyText"/>
      </w:pPr>
      <w:r>
        <w:t xml:space="preserve">For hard rocks and unsaturated sedimentary samples, the dielectric permittivity can be considered constant for all intents and purposes.</w:t>
      </w:r>
      <w:r>
        <w:t xml:space="preserve"> </w:t>
      </w:r>
      <w:r>
        <w:t xml:space="preserve">At sufficiently low frequencies, the same can be said about water-saturated sedimentary rocks and soils (Kaatze, 1989; Meissner and Wentz, 2004).</w:t>
      </w:r>
      <w:r>
        <w:t xml:space="preserve"> </w:t>
      </w:r>
      <w:r>
        <w:t xml:space="preserve">At high frequencies however ( &gt; 1 GHz), the electric polarization within water-saturated samples depends on the frequency of the electric field.</w:t>
      </w:r>
      <w:r>
        <w:t xml:space="preserve"> </w:t>
      </w:r>
      <w:r>
        <w:t xml:space="preserve">As a result, these samples are sometimes characterized using a frequency-dependent dielectric permittivity:</w:t>
      </w:r>
    </w:p>
    <w:p>
      <w:pPr>
        <w:pStyle w:val="BodyText"/>
      </w:pPr>
      <m:oMathPara>
        <m:oMathParaPr>
          <m:jc m:val="center"/>
        </m:oMathParaPr>
        <m:oMath>
          <m:r>
            <m:t>ε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sSup>
            <m:e>
              <m:r>
                <m:t>ε</m:t>
              </m:r>
            </m:e>
            <m:sup>
              <m:r>
                <m:rPr>
                  <m:sty m:val="p"/>
                </m:rPr>
                <m:t>′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+</m:t>
          </m:r>
          <m:r>
            <m:t>i</m:t>
          </m:r>
          <m:sSup>
            <m:e>
              <m:r>
                <m:t>ε</m:t>
              </m:r>
            </m:e>
            <m:sup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′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  <w:r>
        <w:t xml:space="preserve"> </w:t>
      </w:r>
      <w:r>
        <w:t xml:space="preserve">The real component of the dielectric permittivity (</w:t>
      </w:r>
      <m:oMath>
        <m:sSup>
          <m:e>
            <m:r>
              <m:t>ε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) represents energy stored through electrical polarization whereas the imaginary component (</w:t>
      </w:r>
      <m:oMath>
        <m:sSup>
          <m:e>
            <m:r>
              <m:t>ε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</m:oMath>
      <w:r>
        <w:t xml:space="preserve">) represents a measure of energy loss.</w:t>
      </w:r>
      <w:r>
        <w:t xml:space="preserve"> </w:t>
      </w:r>
      <w:r>
        <w:t xml:space="preserve">The significance of the real and imaginary components of the dielectric permittivity will be discussed in more detail when learning about ground-penetrating radar (link).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./images/cole_cole_permittivity.png</w:t>
            </w:r>
          </w:p>
        </w:tc>
      </w:tr>
    </w:tbl>
    <w:p>
      <w:pPr>
        <w:pStyle w:val="BodyText"/>
      </w:pPr>
      <w:r>
        <w:t xml:space="preserve">A widely used model for describing the frequency-dependent dielectric permittivity is the Cole-Cole model:</w:t>
      </w:r>
    </w:p>
    <w:p>
      <w:pPr>
        <w:pStyle w:val="BodyText"/>
      </w:pPr>
      <m:oMathPara>
        <m:oMathParaPr>
          <m:jc m:val="center"/>
        </m:oMathParaPr>
        <m:oMath>
          <m:r>
            <m:t>ε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sSub>
            <m:e>
              <m:r>
                <m:t>ε</m:t>
              </m:r>
            </m:e>
            <m:sub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ε</m:t>
                  </m:r>
                </m:e>
                <m:sub>
                  <m:r>
                    <m:t>D</m:t>
                  </m:r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ε</m:t>
                  </m:r>
                </m:e>
                <m:sub>
                  <m:r>
                    <m:rPr>
                      <m:sty m:val="p"/>
                    </m:rPr>
                    <m:t>∞</m:t>
                  </m:r>
                </m:sub>
              </m:sSub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i</m:t>
                      </m:r>
                      <m:r>
                        <m:t>ω</m:t>
                      </m:r>
                      <m:r>
                        <m:t>τ</m:t>
                      </m:r>
                    </m:e>
                  </m:d>
                </m:e>
                <m:sup>
                  <m:r>
                    <m:t>α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ε</m:t>
            </m:r>
          </m:e>
          <m:sub>
            <m:r>
              <m:t>D</m:t>
            </m:r>
            <m:r>
              <m:t>C</m:t>
            </m:r>
          </m:sub>
        </m:sSub>
      </m:oMath>
      <w:r>
        <w:t xml:space="preserve"> </w:t>
      </w:r>
      <w:r>
        <w:t xml:space="preserve">is the DC or zero-frequency permittivity, and</w:t>
      </w:r>
      <w:r>
        <w:t xml:space="preserve"> </w:t>
      </w:r>
      <m:oMath>
        <m:sSub>
          <m:e>
            <m:r>
              <m:t>ε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 </w:t>
      </w:r>
      <w:r>
        <w:t xml:space="preserve">represents a limit as frequency goes to infinity.</w:t>
      </w:r>
      <w:r>
        <w:t xml:space="preserve"> </w:t>
      </w:r>
      <w:r>
        <w:t xml:space="preserve">Parameters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define the span of frequencies in which the dielectric permittivity changes with respect to frequency.</w:t>
      </w:r>
      <w:r>
        <w:t xml:space="preserve"> </w:t>
      </w:r>
      <w:r>
        <w:t xml:space="preserve">As we can see from this model:</w:t>
      </w:r>
    </w:p>
    <w:p>
      <w:pPr>
        <w:pStyle w:val="Compact"/>
        <w:numPr>
          <w:ilvl w:val="0"/>
          <w:numId w:val="1003"/>
        </w:numPr>
      </w:pPr>
      <w:r>
        <w:t xml:space="preserve">Frequency-dependence only occurs over a finite span of frequencies.</w:t>
      </w:r>
    </w:p>
    <w:p>
      <w:pPr>
        <w:pStyle w:val="Compact"/>
        <w:numPr>
          <w:ilvl w:val="0"/>
          <w:numId w:val="1003"/>
        </w:numPr>
      </w:pPr>
      <w:r>
        <w:t xml:space="preserve">The magnitude of the dielectric permittivity decreases with respect to an increase in frequency.</w:t>
      </w:r>
    </w:p>
    <w:p>
      <w:pPr>
        <w:pStyle w:val="Compact"/>
        <w:numPr>
          <w:ilvl w:val="0"/>
          <w:numId w:val="1003"/>
        </w:numPr>
      </w:pPr>
      <w:r>
        <w:t xml:space="preserve">At sufficiently low frequencies, the dielectric permittivity is constant and real-valued.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Dielectric Permittivity</dc:title>
  <dc:creator/>
  <cp:keywords/>
  <dcterms:created xsi:type="dcterms:W3CDTF">2025-01-16T09:29:15Z</dcterms:created>
  <dcterms:modified xsi:type="dcterms:W3CDTF">2025-01-16T09:29:15Z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