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 MoveOut (NMO): Stacking Data in CMP Gathers</w:t>
      </w:r>
    </w:p>
    <w:p>
      <w:pPr>
        <w:pStyle w:val="FirstParagraph"/>
      </w:pPr>
      <w:r>
        <w:t xml:space="preserve">Imagine recording four seismic traces from one source. If we plot the travel</w:t>
      </w:r>
      <w:r>
        <w:t xml:space="preserve"> </w:t>
      </w:r>
      <w:r>
        <w:t xml:space="preserve">time for a seismic signal as a function of distance between receiver and</w:t>
      </w:r>
      <w:r>
        <w:t xml:space="preserve"> </w:t>
      </w:r>
      <w:r>
        <w:t xml:space="preserve">source we see that time increases (middle panel). The curve through the traces</w:t>
      </w:r>
      <w:r>
        <w:t xml:space="preserve"> </w:t>
      </w:r>
      <w:r>
        <w:t xml:space="preserve">forms a hyperbola.</w:t>
      </w:r>
    </w:p>
    <w:p>
      <w:pPr>
        <w:pStyle w:val="BodyText"/>
      </w:pPr>
      <w:r>
        <w:t xml:space="preserve">For horizontal flat surfaces, the change in travel time for a set of</w:t>
      </w:r>
      <w:r>
        <w:t xml:space="preserve"> </w:t>
      </w:r>
      <w:r>
        <w:t xml:space="preserve">increasing source-receiver spacings of a CMP gather (bottom panel) will be</w:t>
      </w:r>
      <w:r>
        <w:t xml:space="preserve"> </w:t>
      </w:r>
      <w:r>
        <w:t xml:space="preserve">identical to the "common shot gather" (top panel). The travel time curve from</w:t>
      </w:r>
      <w:r>
        <w:t xml:space="preserve"> </w:t>
      </w:r>
      <w:r>
        <w:t xml:space="preserve">the reflector will appear approximately as a hyperbola. Unlike for the common</w:t>
      </w:r>
      <w:r>
        <w:t xml:space="preserve"> </w:t>
      </w:r>
      <w:r>
        <w:t xml:space="preserve">shot gather, in the CMP gather all of the arrivals correspond to the same</w:t>
      </w:r>
      <w:r>
        <w:t xml:space="preserve"> </w:t>
      </w:r>
      <w:r>
        <w:t xml:space="preserve">reflection point.</w:t>
      </w:r>
    </w:p>
    <w:p>
      <w:pPr>
        <w:pStyle w:val="BodyText"/>
      </w:pPr>
      <w:r>
        <w:t xml:space="preserve">The hyperbolic representation for the travel time curve is exact if the</w:t>
      </w:r>
      <w:r>
        <w:t xml:space="preserve"> </w:t>
      </w:r>
      <w:r>
        <w:t xml:space="preserve">velocity above the reflector is constant, and if the reflector is flat. For</w:t>
      </w:r>
      <w:r>
        <w:t xml:space="preserve"> </w:t>
      </w:r>
      <w:r>
        <w:t xml:space="preserve">layered media we saw that the travel time curve was hyperbolic, but the</w:t>
      </w:r>
      <w:r>
        <w:t xml:space="preserve"> </w:t>
      </w:r>
      <w:r>
        <w:t xml:space="preserve">velocity used should be the RMS velocity. Unfortunately we don't know what</w:t>
      </w:r>
      <w:r>
        <w:t xml:space="preserve"> </w:t>
      </w:r>
      <w:r>
        <w:t xml:space="preserve">this velocity is, so we attempt to estimate it from the data themselves. We</w:t>
      </w:r>
      <w:r>
        <w:t xml:space="preserve"> </w:t>
      </w:r>
      <w:r>
        <w:t xml:space="preserve">proceed as follows.</w:t>
      </w:r>
    </w:p>
    <w:p>
      <w:pPr>
        <w:pStyle w:val="Compact"/>
        <w:numPr>
          <w:ilvl w:val="0"/>
          <w:numId w:val="1001"/>
        </w:numPr>
      </w:pPr>
      <w:r>
        <w:t xml:space="preserve">Assume that each reflection event in a CMP gather has a travel time that corresponds to a hyperbola,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bSup>
            <m:e>
              <m:r>
                <m:t>t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is a "stacking" velocity, or sometimes called the Normal Moveout Velocity,</w:t>
      </w:r>
      <w:r>
        <w:t xml:space="preserve"> </w:t>
      </w:r>
      <m:oMath>
        <m:sSub>
          <m:e>
            <m:r>
              <m:t>v</m:t>
            </m:r>
          </m:e>
          <m:sub>
            <m:r>
              <m:t>n</m:t>
            </m:r>
            <m:r>
              <m:t>m</m:t>
            </m:r>
            <m:r>
              <m:t>o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For each reflection event hyperbola, perform a velocity analysis to find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. This is done by first choosing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 Then choose a trial</w:t>
      </w:r>
      <w:r>
        <w:t xml:space="preserve"> </w:t>
      </w:r>
      <w:r>
        <w:t xml:space="preserve">value of velocity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. The associated travel time hyperbola is generated</w:t>
      </w:r>
      <w:r>
        <w:t xml:space="preserve"> </w:t>
      </w:r>
      <w:r>
        <w:t xml:space="preserve">and it forms a trajectory on the CMP gather. Sum the energy of the seismic</w:t>
      </w:r>
      <w:r>
        <w:t xml:space="preserve"> </w:t>
      </w:r>
      <w:r>
        <w:t xml:space="preserve">traces along the trajectory and plot this value on a graph of velocity versus</w:t>
      </w:r>
      <w:r>
        <w:t xml:space="preserve"> </w:t>
      </w:r>
      <w:r>
        <w:t xml:space="preserve">energy. Repeat this procedure for different trial velocities. Choose as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the velocity that yields the largest energy. In the diagram below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represents the stacking velocity. The term cross power can be</w:t>
      </w:r>
      <w:r>
        <w:t xml:space="preserve"> </w:t>
      </w:r>
      <w:r>
        <w:t xml:space="preserve">interpreted as total energy.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./images/stacking_velocity.gif</w:t>
            </w:r>
          </w:p>
        </w:tc>
      </w:tr>
    </w:tbl>
    <w:p>
      <w:pPr>
        <w:pStyle w:val="ImageCaption"/>
      </w:pPr>
      <w:r>
        <w:t xml:space="preserve">From Kearey, Philip and Micheal Brooks, An Introduction to Geophysical Exploration. 2nd ed. Blackwell Science: 1991.</w:t>
      </w:r>
    </w:p>
    <w:p>
      <w:pPr>
        <w:pStyle w:val="Compact"/>
        <w:numPr>
          <w:ilvl w:val="0"/>
          <w:numId w:val="1003"/>
        </w:numPr>
      </w:pPr>
      <w:r>
        <w:t xml:space="preserve">Calculate the Normal Moveout Correction: Again, using the hyperbola</w:t>
      </w:r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  <m:r>
          <m:t>t</m:t>
        </m:r>
      </m:oMath>
      <w:r>
        <w:t xml:space="preserve">, compute the normal moveout for each trace and</w:t>
      </w:r>
      <w:r>
        <w:t xml:space="preserve"> </w:t>
      </w:r>
      <w:r>
        <w:t xml:space="preserve">then adjust the reflection time by the amount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./images/NMO_correction.gif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Finally, stacking the normal moveout corrected traces generates a single</w:t>
      </w:r>
      <w:r>
        <w:t xml:space="preserve"> </w:t>
      </w:r>
      <w:r>
        <w:t xml:space="preserve">trace. Each trace corresponds to a zero-offset trace, that is, the seismic</w:t>
      </w:r>
      <w:r>
        <w:t xml:space="preserve"> </w:t>
      </w:r>
      <w:r>
        <w:t xml:space="preserve">trace that would have been recorded by a receiver that is coincident with the</w:t>
      </w:r>
      <w:r>
        <w:t xml:space="preserve"> </w:t>
      </w:r>
      <w:r>
        <w:t xml:space="preserve">source.</w:t>
      </w:r>
    </w:p>
    <w:p>
      <w:pPr>
        <w:pStyle w:val="FirstParagraph"/>
      </w:pPr>
      <w:r>
        <w:t xml:space="preserve">As an example consider the two CMP gathers in the figure below left (click for</w:t>
      </w:r>
      <w:r>
        <w:t xml:space="preserve"> </w:t>
      </w:r>
      <w:r>
        <w:t xml:space="preserve">a larger version). The most prominent seismic wavelet at times between 50 and</w:t>
      </w:r>
      <w:r>
        <w:t xml:space="preserve"> </w:t>
      </w:r>
      <w:r>
        <w:t xml:space="preserve">70 ms is a bedrock reflection from about 9 m below the surface. The geophone</w:t>
      </w:r>
      <w:r>
        <w:t xml:space="preserve"> </w:t>
      </w:r>
      <w:r>
        <w:t xml:space="preserve">offsets were 3.7 m (12 ft) for the nearest traces and 17 m (56 ft) for the</w:t>
      </w:r>
      <w:r>
        <w:t xml:space="preserve"> </w:t>
      </w:r>
      <w:r>
        <w:t xml:space="preserve">farthest trace with 1.22 m (4 ft) between geophones. The reflection even of</w:t>
      </w:r>
      <w:r>
        <w:t xml:space="preserve"> </w:t>
      </w:r>
      <w:r>
        <w:t xml:space="preserve">interest is at about 55 msec.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./images/CMP_gather.gif</w:t>
            </w:r>
          </w:p>
        </w:tc>
      </w:tr>
    </w:tbl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./images/velocity_analysis.gif</w:t>
            </w:r>
          </w:p>
        </w:tc>
      </w:tr>
    </w:tbl>
    <w:p>
      <w:pPr>
        <w:pStyle w:val="BodyText"/>
      </w:pPr>
      <w:r>
        <w:t xml:space="preserve">In the figure above right, the CMP gather for point 988 has been moveout</w:t>
      </w:r>
      <w:r>
        <w:t xml:space="preserve"> </w:t>
      </w:r>
      <w:r>
        <w:t xml:space="preserve">corrected using different velocities. The moveout correction using a velocity</w:t>
      </w:r>
      <w:r>
        <w:t xml:space="preserve"> </w:t>
      </w:r>
      <w:r>
        <w:t xml:space="preserve">of 1225 ft/s (328 m/s) causes the reflection events to occur at about the same</w:t>
      </w:r>
      <w:r>
        <w:t xml:space="preserve"> </w:t>
      </w:r>
      <w:r>
        <w:t xml:space="preserve">time for all traces. Stacking these signals will produce a high quality</w:t>
      </w:r>
      <w:r>
        <w:t xml:space="preserve"> </w:t>
      </w:r>
      <w:r>
        <w:t xml:space="preserve">reflection signal. Conversely, a velocity of 1075 ft/s is too small and</w:t>
      </w:r>
      <w:r>
        <w:t xml:space="preserve"> </w:t>
      </w:r>
      <w:r>
        <w:t xml:space="preserve">produces too large a correction at far offsets.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./images/wrong_velocity_stack.gif</w:t>
            </w:r>
          </w:p>
        </w:tc>
      </w:tr>
    </w:tbl>
    <w:p>
      <w:pPr>
        <w:pStyle w:val="BodyText"/>
      </w:pPr>
      <w:r>
        <w:t xml:space="preserve">To show what happens if the wrong velocity is chosen for carrying out the</w:t>
      </w:r>
      <w:r>
        <w:t xml:space="preserve"> </w:t>
      </w:r>
      <w:r>
        <w:t xml:space="preserve">normal moveout correction, five 12-fold CMP traces are shown (right) processed</w:t>
      </w:r>
      <w:r>
        <w:t xml:space="preserve"> </w:t>
      </w:r>
      <w:r>
        <w:t xml:space="preserve">with three different velocities. When the velocity is too low, the frequency</w:t>
      </w:r>
      <w:r>
        <w:t xml:space="preserve"> </w:t>
      </w:r>
      <w:r>
        <w:t xml:space="preserve">of the reflection wavelet is lowered and it is therefore depicted too shallow</w:t>
      </w:r>
      <w:r>
        <w:t xml:space="preserve"> </w:t>
      </w:r>
      <w:r>
        <w:t xml:space="preserve">on the seismic section. When the velocity is too high the frequency decreases</w:t>
      </w:r>
      <w:r>
        <w:t xml:space="preserve"> </w:t>
      </w:r>
      <w:r>
        <w:t xml:space="preserve">and the reflection wavelet is depicted at too large a time on the seismic</w:t>
      </w:r>
      <w:r>
        <w:t xml:space="preserve"> </w:t>
      </w:r>
      <w:r>
        <w:t xml:space="preserve">section. The correct velocity gives the correct position for the wavelet and</w:t>
      </w:r>
      <w:r>
        <w:t xml:space="preserve"> </w:t>
      </w:r>
      <w:r>
        <w:t xml:space="preserve">preserves the high frequencies which allow best resolution of small features</w:t>
      </w:r>
      <w:r>
        <w:t xml:space="preserve"> </w:t>
      </w:r>
      <w:r>
        <w:t xml:space="preserve">and thin beds. Correct velocity is about 373 m/s (1225 ft/s).</w:t>
      </w:r>
    </w:p>
    <w:bookmarkStart w:id="21" w:name="Xc9cd14726feeef11003238f6890abffbc5a70a7"/>
    <w:p>
      <w:pPr>
        <w:pStyle w:val="Heading1"/>
      </w:pPr>
      <w:r>
        <w:t xml:space="preserve">Summary: Essential Elements in CMP Processing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./images/Baker_SeismicPrimer_fig.png</w:t>
            </w:r>
          </w:p>
        </w:tc>
      </w:tr>
    </w:tbl>
    <w:p>
      <w:pPr>
        <w:pStyle w:val="BodyText"/>
      </w:pPr>
      <w:r>
        <w:t xml:space="preserve">There are many different processing steps that could be performed.</w:t>
      </w:r>
      <w:r>
        <w:t xml:space="preserve"> </w:t>
      </w:r>
      <w:r>
        <w:t xml:space="preserve">An example from</w:t>
      </w:r>
      <w:r>
        <w:t xml:space="preserve"> </w:t>
      </w:r>
      <w:hyperlink r:id="rId20">
        <w:r>
          <w:rPr>
            <w:rStyle w:val="Hyperlink"/>
          </w:rPr>
          <w:t xml:space="preserve">GS Baker 1999</w:t>
        </w:r>
      </w:hyperlink>
      <w:r>
        <w:t xml:space="preserve">, is shown in the flow chart image here (click</w:t>
      </w:r>
      <w:r>
        <w:t xml:space="preserve"> </w:t>
      </w:r>
      <w:r>
        <w:t xml:space="preserve">for a larger version.). However, the essential steps are summarized in the</w:t>
      </w:r>
      <w:r>
        <w:t xml:space="preserve"> </w:t>
      </w:r>
      <w:r>
        <w:t xml:space="preserve">following short list.</w:t>
      </w:r>
    </w:p>
    <w:p>
      <w:pPr>
        <w:pStyle w:val="Compact"/>
        <w:numPr>
          <w:ilvl w:val="0"/>
          <w:numId w:val="1005"/>
        </w:numPr>
      </w:pPr>
      <w:r>
        <w:t xml:space="preserve">Obtain CSP (Common Source Point) gathers.</w:t>
      </w:r>
    </w:p>
    <w:p>
      <w:pPr>
        <w:pStyle w:val="Compact"/>
        <w:numPr>
          <w:ilvl w:val="0"/>
          <w:numId w:val="1005"/>
        </w:numPr>
      </w:pPr>
      <w:r>
        <w:t xml:space="preserve">Sort into CMP (Common Midpoint) gathers. Reflection events (coming from approximately the same point in the earth) appear as hyperbolic trajectories. The goal is to stack them into a single trace.</w:t>
      </w:r>
    </w:p>
    <w:p>
      <w:pPr>
        <w:pStyle w:val="Compact"/>
        <w:numPr>
          <w:ilvl w:val="0"/>
          <w:numId w:val="1005"/>
        </w:numPr>
      </w:pPr>
      <w:r>
        <w:t xml:space="preserve">For each event, perform a velocity analysis to find the stacking velocity.</w:t>
      </w:r>
    </w:p>
    <w:p>
      <w:pPr>
        <w:pStyle w:val="Compact"/>
        <w:numPr>
          <w:ilvl w:val="0"/>
          <w:numId w:val="1005"/>
        </w:numPr>
      </w:pPr>
      <w:r>
        <w:t xml:space="preserve">Perform NMO correction and stack. This yields a single trace corresponding to a coincident source and receiver.</w:t>
      </w:r>
    </w:p>
    <w:p>
      <w:pPr>
        <w:pStyle w:val="Compact"/>
        <w:numPr>
          <w:ilvl w:val="0"/>
          <w:numId w:val="1005"/>
        </w:numPr>
      </w:pPr>
      <w:r>
        <w:t xml:space="preserve">Composite the traces into a CMP processed section.</w:t>
      </w:r>
    </w:p>
    <w:p>
      <w:pPr>
        <w:pStyle w:val="FirstParagraph"/>
      </w:pPr>
      <w:r>
        <w:t xml:space="preserve">These are the only steps we will be concerned with in these notes. Other steps</w:t>
      </w:r>
      <w:r>
        <w:t xml:space="preserve"> </w:t>
      </w:r>
      <w:r>
        <w:t xml:space="preserve">may be used by experienced contractors and they may be necessary to produce</w:t>
      </w:r>
      <w:r>
        <w:t xml:space="preserve"> </w:t>
      </w:r>
      <w:r>
        <w:t xml:space="preserve">more useful sections for interpretation, but the details are beyond the scope</w:t>
      </w:r>
      <w:r>
        <w:t xml:space="preserve"> </w:t>
      </w:r>
      <w:r>
        <w:t xml:space="preserve">of this set of notes.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./images/CMPprocessing.png</w:t>
            </w:r>
          </w:p>
        </w:tc>
      </w:tr>
    </w:tbl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searchgate.net/profile/Gregory_Baker4/publication/49182348_Processing_near-surface_seismic-reflection_data_a_primer/links/5617dbbf08ae4780f241fe3d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searchgate.net/profile/Gregory_Baker4/publication/49182348_Processing_near-surface_seismic-reflection_data_a_primer/links/5617dbbf08ae4780f241fe3d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MoveOut (NMO): Stacking Data in CMP Gathers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