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 Corrections</w:t>
      </w:r>
    </w:p>
    <w:p>
      <w:pPr>
        <w:pStyle w:val="FirstParagraph"/>
      </w:pPr>
      <w:r>
        <w:t xml:space="preserve">Before carrying out the NMO correction it is usually necessary to perform a</w:t>
      </w:r>
      <w:r>
        <w:t xml:space="preserve"> </w:t>
      </w:r>
      <w:r>
        <w:t xml:space="preserve">static correction, which amounts to moving the entire seismic trace up or down</w:t>
      </w:r>
      <w:r>
        <w:t xml:space="preserve"> </w:t>
      </w:r>
      <w:r>
        <w:t xml:space="preserve">in time.</w:t>
      </w:r>
    </w:p>
    <w:p>
      <w:pPr>
        <w:pStyle w:val="BodyText"/>
      </w:pPr>
      <w:r>
        <w:t xml:space="preserve">There are two main reasons for applying static corrections.</w:t>
      </w:r>
    </w:p>
    <w:p>
      <w:pPr>
        <w:pStyle w:val="Compact"/>
        <w:numPr>
          <w:ilvl w:val="0"/>
          <w:numId w:val="1001"/>
        </w:numPr>
      </w:pPr>
      <w:r>
        <w:t xml:space="preserve">Put shots and receivers on a flat datum plane.</w:t>
      </w:r>
    </w:p>
    <w:p>
      <w:pPr>
        <w:pStyle w:val="Compact"/>
        <w:numPr>
          <w:ilvl w:val="0"/>
          <w:numId w:val="1001"/>
        </w:numPr>
      </w:pPr>
      <w:r>
        <w:t xml:space="preserve">Correct for near surface velocity anomalies beneath the source or receiver.</w:t>
      </w:r>
    </w:p>
    <w:bookmarkStart w:id="20" w:name="elevation-statics"/>
    <w:p>
      <w:pPr>
        <w:pStyle w:val="Heading1"/>
      </w:pPr>
      <w:r>
        <w:t xml:space="preserve">Elevation Statics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./images/irregular_surface.gif</w:t>
            </w:r>
          </w:p>
        </w:tc>
      </w:tr>
    </w:tbl>
    <w:p>
      <w:pPr>
        <w:pStyle w:val="BodyText"/>
      </w:pPr>
      <w:r>
        <w:t xml:space="preserve">Consider the need for (1). Common midpoint shot receiver pairs acquire data on</w:t>
      </w:r>
      <w:r>
        <w:t xml:space="preserve"> </w:t>
      </w:r>
      <w:r>
        <w:t xml:space="preserve">an irregular interface (right figures, top panel). Time differences are caused</w:t>
      </w:r>
      <w:r>
        <w:t xml:space="preserve"> </w:t>
      </w:r>
      <w:r>
        <w:t xml:space="preserve">because of extra travel time associated with elevation of source and receiver.</w:t>
      </w:r>
      <w:r>
        <w:t xml:space="preserve"> </w:t>
      </w:r>
      <w:r>
        <w:t xml:space="preserve">As a result reflections observed on the CMP gather will not have a hyperbolic</w:t>
      </w:r>
      <w:r>
        <w:t xml:space="preserve"> </w:t>
      </w:r>
      <w:r>
        <w:t xml:space="preserve">form and they will not be amenable to normal CMP processing (bottom panel).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./images/irregular_surface_and_CMP.gif</w:t>
            </w:r>
          </w:p>
        </w:tc>
      </w:tr>
    </w:tbl>
    <w:p>
      <w:pPr>
        <w:pStyle w:val="BodyText"/>
      </w:pPr>
      <w:r>
        <w:t xml:space="preserve">The correction procedure involves establishing a datum on which to locate</w:t>
      </w:r>
      <w:r>
        <w:t xml:space="preserve"> </w:t>
      </w:r>
      <w:r>
        <w:t xml:space="preserve">source and receiver, and then adding or subtracting the incremental time. The</w:t>
      </w:r>
      <w:r>
        <w:t xml:space="preserve"> </w:t>
      </w:r>
      <w:r>
        <w:t xml:space="preserve">reference velocity will be that of the upper layer.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./images/S_R_datum_correction.gif</w:t>
            </w:r>
          </w:p>
        </w:tc>
      </w:tr>
    </w:tbl>
    <w:p>
      <w:pPr>
        <w:pStyle w:val="BodyText"/>
      </w:pPr>
      <w:r>
        <w:t xml:space="preserve">The reflections of interest are usually coming from great depth and the</w:t>
      </w:r>
      <w:r>
        <w:t xml:space="preserve"> </w:t>
      </w:r>
      <w:r>
        <w:t xml:space="preserve">upcoming energy is traveling nearly vertical. So the static correction due to</w:t>
      </w:r>
      <w:r>
        <w:t xml:space="preserve"> </w:t>
      </w:r>
      <w:r>
        <w:t xml:space="preserve">elevation expressed as a change in travel time 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h</m:t>
                  </m:r>
                </m:e>
                <m:sub>
                  <m:r>
                    <m:t>s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h</m:t>
                  </m:r>
                </m:e>
                <m:sub>
                  <m:r>
                    <m:t>r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 is subtracted from the record. That is, the whole seismic record is</w:t>
      </w:r>
      <w:r>
        <w:t xml:space="preserve"> </w:t>
      </w:r>
      <w:r>
        <w:t xml:space="preserve">shifted in time by a value</w:t>
      </w:r>
      <w:r>
        <w:t xml:space="preserve"> </w:t>
      </w:r>
      <m:oMath>
        <m:r>
          <m:t>Δ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After static correction, the subsurface events will look more like an</w:t>
      </w:r>
      <w:r>
        <w:t xml:space="preserve"> </w:t>
      </w:r>
      <w:r>
        <w:t xml:space="preserve">hyperbola and they will be ready for velocity analysis, NMO and stacking.</w:t>
      </w:r>
    </w:p>
    <w:bookmarkEnd w:id="20"/>
    <w:bookmarkStart w:id="22" w:name="near-surface-velocity-anomalies"/>
    <w:p>
      <w:pPr>
        <w:pStyle w:val="Heading1"/>
      </w:pPr>
      <w:r>
        <w:t xml:space="preserve">Near-surface velocity anomalies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./images/near_surface_v_anomaly.gif</w:t>
            </w:r>
          </w:p>
        </w:tc>
      </w:tr>
    </w:tbl>
    <w:p>
      <w:pPr>
        <w:pStyle w:val="BodyText"/>
      </w:pPr>
      <w:r>
        <w:t xml:space="preserve">Similar bulk shifts in time will occur if there is anomalous velocity beneath</w:t>
      </w:r>
      <w:r>
        <w:t xml:space="preserve"> </w:t>
      </w:r>
      <w:r>
        <w:t xml:space="preserve">a source or receiver or if the thickness of the weathering layer changes</w:t>
      </w:r>
      <w:r>
        <w:t xml:space="preserve"> </w:t>
      </w:r>
      <w:r>
        <w:t xml:space="preserve">substantially. The amount to be subtracted from the seismic trace time is</w:t>
      </w:r>
      <w:r>
        <w:t xml:space="preserve"> </w:t>
      </w:r>
      <w:r>
        <w:t xml:space="preserve">given by the following formula: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a</m:t>
                  </m:r>
                </m:sub>
              </m:sSub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a</m:t>
                      </m:r>
                    </m:sub>
                  </m:sSub>
                </m:num>
                <m:den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v</m:t>
                      </m:r>
                    </m:e>
                    <m:sub>
                      <m:r>
                        <m:t>a</m:t>
                      </m:r>
                    </m:sub>
                  </m:sSub>
                </m:den>
              </m:f>
            </m:e>
          </m:d>
          <m:sSub>
            <m:e>
              <m:r>
                <m:t>h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The first layer is often highly weathered and it has variable thickness and</w:t>
      </w:r>
      <w:r>
        <w:t xml:space="preserve"> </w:t>
      </w:r>
      <w:r>
        <w:t xml:space="preserve">velocity. It is also usually poorly consolidated and therefore is a poor</w:t>
      </w:r>
      <w:r>
        <w:t xml:space="preserve"> </w:t>
      </w:r>
      <w:r>
        <w:t xml:space="preserve">transmitter of seismic energy. In exploration it is common to drill through</w:t>
      </w:r>
      <w:r>
        <w:t xml:space="preserve"> </w:t>
      </w:r>
      <w:r>
        <w:t xml:space="preserve">the weathered zone into the upper layer. Drill measurements establish the</w:t>
      </w:r>
      <w:r>
        <w:t xml:space="preserve"> </w:t>
      </w:r>
      <w:r>
        <w:t xml:space="preserve">thickness at the shot. By having a seismometer at the surface above the shot</w:t>
      </w:r>
      <w:r>
        <w:t xml:space="preserve"> </w:t>
      </w:r>
      <w:r>
        <w:t xml:space="preserve">one can estimate the velocity of the weathered zone. The diagram below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shows the differences between reflection events on adjacent seismograms due to</w:t>
      </w:r>
      <w:r>
        <w:t xml:space="preserve"> </w:t>
      </w:r>
      <w:r>
        <w:t xml:space="preserve">the different elevations of shots and detectors and the presence of a</w:t>
      </w:r>
      <w:r>
        <w:t xml:space="preserve"> </w:t>
      </w:r>
      <w:r>
        <w:t xml:space="preserve">weathered layer. After static corrections the seismograms should show better</w:t>
      </w:r>
      <w:r>
        <w:t xml:space="preserve"> </w:t>
      </w:r>
      <w:r>
        <w:t xml:space="preserve">alignment of reflection events.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./images/reflection_weatherd_layer.gif</w:t>
            </w:r>
          </w:p>
        </w:tc>
      </w:tr>
    </w:tbl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From Kearey, Philip and Micheal Brooks, "An Introduction to Geophysical Exploration". 2nd ed. Blackwell Science: 1991.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Corrections</dc:title>
  <dc:creator/>
  <cp:keywords/>
  <dcterms:created xsi:type="dcterms:W3CDTF">2025-01-16T09:29:21Z</dcterms:created>
  <dcterms:modified xsi:type="dcterms:W3CDTF">2025-01-16T09:29:21Z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