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Interpretation when layers are dipping</w:t>
      </w:r>
    </w:p>
    <w:p>
      <w:pPr>
        <w:pStyle w:val="FirstParagraph"/>
      </w:pPr>
      <w:r>
        <w:t xml:space="preserve">Earth layers can often be approximated as planar, but they are rarely</w:t>
      </w:r>
      <w:r>
        <w:t xml:space="preserve"> </w:t>
      </w:r>
      <w:r>
        <w:t xml:space="preserve">horizontal. The next level of complication is to assume that the layers have</w:t>
      </w:r>
      <w:r>
        <w:t xml:space="preserve"> </w:t>
      </w:r>
      <w:r>
        <w:t xml:space="preserve">some dip associated with them. Consider a single interface which is dipping at</w:t>
      </w:r>
      <w:r>
        <w:t xml:space="preserve"> </w:t>
      </w:r>
      <w:r>
        <w:t xml:space="preserve">an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with respect to the horizontal. The critical angle is</w:t>
      </w:r>
      <w:r>
        <w:t xml:space="preserve"> </w:t>
      </w:r>
      <w:r>
        <w:t xml:space="preserve">still defined by the angle that an incoming wave must make with respect to the</w:t>
      </w:r>
      <w:r>
        <w:t xml:space="preserve"> </w:t>
      </w:r>
      <w:r>
        <w:rPr>
          <w:b/>
          <w:bCs/>
        </w:rPr>
        <w:t xml:space="preserve">normal</w:t>
      </w:r>
      <w:r>
        <w:t xml:space="preserve"> </w:t>
      </w:r>
      <w:r>
        <w:t xml:space="preserve">of the refractor. This is shown by the diagram below.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./images/dip_layer_S_R_schematic1.gif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./images/dip_layer_x_t_lines.gif</w:t>
            </w:r>
          </w:p>
        </w:tc>
      </w:tr>
    </w:tbl>
    <w:p>
      <w:pPr>
        <w:pStyle w:val="BodyText"/>
      </w:pPr>
      <w:r>
        <w:t xml:space="preserve">Arrival times of the refracted wave will still appear as a straight line on</w:t>
      </w:r>
      <w:r>
        <w:t xml:space="preserve"> </w:t>
      </w:r>
      <w:r>
        <w:t xml:space="preserve">the travel time plot. However, as the refracted wave moves updip the waves</w:t>
      </w:r>
      <w:r>
        <w:t xml:space="preserve"> </w:t>
      </w:r>
      <w:r>
        <w:t xml:space="preserve">have less distance to travel to the surface. The travel time is reduced and</w:t>
      </w:r>
      <w:r>
        <w:t xml:space="preserve"> </w:t>
      </w:r>
      <w:r>
        <w:t xml:space="preserve">thus the slope of the line is reduced. The velocity recovered from using this</w:t>
      </w:r>
      <w:r>
        <w:t xml:space="preserve"> </w:t>
      </w:r>
      <w:r>
        <w:t xml:space="preserve">slope is called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u</m:t>
            </m:r>
          </m:sub>
        </m:sSub>
      </m:oMath>
      <w:r>
        <w:t xml:space="preserve"> </w:t>
      </w:r>
      <w:r>
        <w:t xml:space="preserve">, and is called the updip "apparent" velocity.</w:t>
      </w:r>
      <w:r>
        <w:t xml:space="preserve"> </w:t>
      </w:r>
      <w:r>
        <w:t xml:space="preserve">This will be larger than the true velocity of the layer.</w:t>
      </w:r>
    </w:p>
    <w:p>
      <w:pPr>
        <w:pStyle w:val="BodyText"/>
      </w:pPr>
      <w:r>
        <w:t xml:space="preserve">Conversely, if you are downdip then the distance traveled by the refracted</w:t>
      </w:r>
      <w:r>
        <w:t xml:space="preserve"> </w:t>
      </w:r>
      <w:r>
        <w:t xml:space="preserve">wave increases with distance and it takes longer for the waves to reach you.</w:t>
      </w:r>
      <w:r>
        <w:t xml:space="preserve"> </w:t>
      </w:r>
      <w:r>
        <w:t xml:space="preserve">The slope of the refracted arrival on the travel time plot will increase and</w:t>
      </w:r>
      <w:r>
        <w:t xml:space="preserve"> </w:t>
      </w:r>
      <w:r>
        <w:t xml:space="preserve">the apparent downdip velocity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d</m:t>
            </m:r>
          </m:sub>
        </m:sSub>
      </m:oMath>
      <w:r>
        <w:t xml:space="preserve"> </w:t>
      </w:r>
      <w:r>
        <w:t xml:space="preserve">estimated from this slope will be</w:t>
      </w:r>
      <w:r>
        <w:t xml:space="preserve"> </w:t>
      </w:r>
      <w:r>
        <w:t xml:space="preserve">smaller than the true velocity.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./images/dip_layer_S_R_schematic.gif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./images/dip_layer_x_t_lines2.gif</w:t>
            </w:r>
          </w:p>
        </w:tc>
      </w:tr>
    </w:tbl>
    <w:p>
      <w:pPr>
        <w:pStyle w:val="BodyText"/>
      </w:pPr>
      <w:r>
        <w:rPr>
          <w:b/>
          <w:bCs/>
        </w:rPr>
        <w:t xml:space="preserve">Therefore, having receivers only updip or downdip from the source provides</w:t>
      </w:r>
      <w:r>
        <w:rPr>
          <w:b/>
          <w:bCs/>
        </w:rPr>
        <w:t xml:space="preserve"> </w:t>
      </w:r>
      <w:r>
        <w:rPr>
          <w:b/>
          <w:bCs/>
        </w:rPr>
        <w:t xml:space="preserve">only an apparent velocity and no indication that there is a dipping</w:t>
      </w:r>
      <w:r>
        <w:rPr>
          <w:b/>
          <w:bCs/>
        </w:rPr>
        <w:t xml:space="preserve"> </w:t>
      </w:r>
      <w:r>
        <w:rPr>
          <w:b/>
          <w:bCs/>
        </w:rPr>
        <w:t xml:space="preserve">interface.</w:t>
      </w:r>
    </w:p>
    <w:p>
      <w:pPr>
        <w:pStyle w:val="BodyText"/>
      </w:pPr>
      <w:r>
        <w:t xml:space="preserve">Intuitively, if we want to obtain another parameter (namely the dip angle,</w:t>
      </w:r>
      <w:r>
        <w:t xml:space="preserve"> </w:t>
      </w:r>
      <w:r>
        <w:t xml:space="preserve">designated</w:t>
      </w:r>
      <w:r>
        <w:t xml:space="preserve"> </w:t>
      </w:r>
      <m:oMath>
        <m:r>
          <m:t>γ</m:t>
        </m:r>
      </m:oMath>
      <w:r>
        <w:t xml:space="preserve">), then we need more data. We can achieve this by</w:t>
      </w:r>
      <w:r>
        <w:t xml:space="preserve"> </w:t>
      </w:r>
      <w:r>
        <w:t xml:space="preserve">having two shots so that both updip and downdip apparent velocities can be</w:t>
      </w:r>
      <w:r>
        <w:t xml:space="preserve"> </w:t>
      </w:r>
      <w:r>
        <w:t xml:space="preserve">obtained. This requires shots at both ends of the spread.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./images/dip_layers_geom.gif</w:t>
            </w:r>
          </w:p>
        </w:tc>
      </w:tr>
    </w:tbl>
    <w:p>
      <w:pPr>
        <w:pStyle w:val="BodyText"/>
      </w:pPr>
      <w:r>
        <w:t xml:space="preserve">Consider the geometry and travel time curves shown to the right. Note that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depth (vertical distance) of the interface beneath the shot at A.</w:t>
      </w:r>
      <w:r>
        <w:t xml:space="preserve"> </w:t>
      </w:r>
      <w:r>
        <w:t xml:space="preserve">The distance from A to the normal of the interface is given by</w:t>
      </w:r>
      <w:r>
        <w:t xml:space="preserve"> </w:t>
      </w:r>
      <m:oMath>
        <m:r>
          <m:t>z</m:t>
        </m:r>
      </m:oMath>
      <w:r>
        <w:t xml:space="preserve">. These</w:t>
      </w:r>
      <w:r>
        <w:t xml:space="preserve"> </w:t>
      </w:r>
      <w:r>
        <w:t xml:space="preserve">quantities are given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h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for the source at D. The traveltimes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D</m:t>
            </m:r>
          </m:sub>
        </m:sSub>
      </m:oMath>
      <w:r>
        <w:t xml:space="preserve"> </w:t>
      </w:r>
      <w:r>
        <w:t xml:space="preserve">(time for the wave to go from A to D) and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  <m:r>
              <m:t>A</m:t>
            </m:r>
          </m:sub>
        </m:sSub>
      </m:oMath>
      <w:r>
        <w:t xml:space="preserve"> </w:t>
      </w:r>
      <w:r>
        <w:t xml:space="preserve">(the time</w:t>
      </w:r>
      <w:r>
        <w:t xml:space="preserve"> </w:t>
      </w:r>
      <w:r>
        <w:t xml:space="preserve">for the wave to go from D to A) are called the "reciprocal times." It is</w:t>
      </w:r>
      <w:r>
        <w:t xml:space="preserve"> </w:t>
      </w:r>
      <w:r>
        <w:t xml:space="preserve">should be obvious from geometry that these time are equal.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./images/reciprocal_times.gif</w:t>
            </w:r>
          </w:p>
        </w:tc>
      </w:tr>
    </w:tbl>
    <w:p>
      <w:pPr>
        <w:pStyle w:val="BodyText"/>
      </w:pPr>
      <w:r>
        <w:t xml:space="preserve">Note the reciprocal travel times are sometimes erroneously considered as the</w:t>
      </w:r>
      <w:r>
        <w:t xml:space="preserve"> </w:t>
      </w:r>
      <w:r>
        <w:t xml:space="preserve">travel times from first to last geophones of a spread, even though these first</w:t>
      </w:r>
      <w:r>
        <w:t xml:space="preserve"> </w:t>
      </w:r>
      <w:r>
        <w:t xml:space="preserve">and last geophones do not always coincide with the two shot locations.</w:t>
      </w:r>
      <w:r>
        <w:t xml:space="preserve"> </w:t>
      </w:r>
      <w:r>
        <w:t xml:space="preserve">Reciprocal times are total travel times from source location to the last</w:t>
      </w:r>
      <w:r>
        <w:t xml:space="preserve"> </w:t>
      </w:r>
      <w:r>
        <w:t xml:space="preserve">receiver location.</w:t>
      </w:r>
    </w:p>
    <w:p>
      <w:pPr>
        <w:pStyle w:val="BodyText"/>
      </w:pPr>
      <w:r>
        <w:t xml:space="preserve">Checking for equal reciprocal times is a common test of the quality of the</w:t>
      </w:r>
      <w:r>
        <w:t xml:space="preserve"> </w:t>
      </w:r>
      <w:r>
        <w:t xml:space="preserve">data. Don't forget that the reciprocal time for each shot is found as the</w:t>
      </w:r>
      <w:r>
        <w:t xml:space="preserve"> </w:t>
      </w:r>
      <w:r>
        <w:t xml:space="preserve">intersection of the refraction line with the time axis above the other shot</w:t>
      </w:r>
      <w:r>
        <w:t xml:space="preserve"> </w:t>
      </w:r>
      <w:r>
        <w:t xml:space="preserve">(not at the "arbitrary" time axis). Extending the line with a ruler is an</w:t>
      </w:r>
      <w:r>
        <w:t xml:space="preserve"> </w:t>
      </w:r>
      <w:r>
        <w:t xml:space="preserve">acceptable way of finding these times.</w:t>
      </w:r>
    </w:p>
    <w:p>
      <w:pPr>
        <w:pStyle w:val="BodyText"/>
      </w:pPr>
      <w:r>
        <w:t xml:space="preserve">The traveltime for receivers in the downdip direction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r>
                    <m:t>γ</m:t>
                  </m:r>
                </m:e>
              </m:d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z</m:t>
              </m:r>
              <m:r>
                <m:rPr>
                  <m:sty m:val="p"/>
                </m:rPr>
                <m:t>cos</m:t>
              </m:r>
              <m:r>
                <m:t>θ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  <m:r>
                    <m:t>d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The traveltime in the updip direction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2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θ</m:t>
                  </m:r>
                  <m:r>
                    <m:rPr>
                      <m:sty m:val="p"/>
                    </m:rPr>
                    <m:t>−</m:t>
                  </m:r>
                  <m:r>
                    <m:t>γ</m:t>
                  </m:r>
                </m:e>
              </m:d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z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cos</m:t>
              </m:r>
              <m:r>
                <m:t>θ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  <m:r>
                    <m:t>u</m:t>
                  </m:r>
                </m:sub>
              </m:sSub>
            </m:den>
          </m:f>
          <m:r>
            <m:rPr>
              <m:sty m:val="p"/>
            </m:rPr>
            <m:t>+</m:t>
          </m:r>
          <m:sSubSup>
            <m:e>
              <m:r>
                <m:t>t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So measurement of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d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u</m:t>
            </m:r>
          </m:sub>
        </m:sSub>
      </m:oMath>
      <w:r>
        <w:t xml:space="preserve"> </w:t>
      </w:r>
      <w:r>
        <w:t xml:space="preserve">can be used to obtain values for the critical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the dip</w:t>
      </w:r>
      <w:r>
        <w:t xml:space="preserve"> </w:t>
      </w:r>
      <m:oMath>
        <m:r>
          <m:t>γ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  <m:r>
                    <m:t>d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r>
                    <m:t>γ</m:t>
                  </m:r>
                </m:e>
              </m:d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θ</m:t>
          </m:r>
          <m:r>
            <m:rPr>
              <m:sty m:val="p"/>
            </m:rPr>
            <m:t>+</m:t>
          </m:r>
          <m:r>
            <m:t>γ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sSup>
            <m:e>
              <m:r>
                <m:t>n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  <m:r>
                        <m:t>d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  <m:r>
                    <m:t>u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θ</m:t>
                  </m:r>
                  <m:r>
                    <m:rPr>
                      <m:sty m:val="p"/>
                    </m:rPr>
                    <m:t>−</m:t>
                  </m:r>
                  <m:r>
                    <m:t>γ</m:t>
                  </m:r>
                </m:e>
              </m:d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θ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sSup>
            <m:e>
              <m:r>
                <m:t>n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  <m:r>
                        <m:t>u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There are two equations in two unknowns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,</w:t>
      </w:r>
      <w:r>
        <w:t xml:space="preserve"> </w:t>
      </w:r>
      <w:r>
        <w:t xml:space="preserve">therefore we can solve for both unknowns. The result of solving for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r>
                <m:t>s</m:t>
              </m:r>
              <m:r>
                <m:t>i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  <m:r>
                            <m:t>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r>
                <m:t>i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  <m:r>
                            <m:t>u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r>
                <m:t>s</m:t>
              </m:r>
              <m:r>
                <m:t>i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  <m:r>
                            <m:t>d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t>s</m:t>
              </m:r>
              <m:r>
                <m:t>i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  <m:r>
                            <m:t>u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 how do we use these relations? Start by recalling what we want: We want</w:t>
      </w:r>
      <w:r>
        <w:t xml:space="preserve"> </w:t>
      </w:r>
      <w:r>
        <w:t xml:space="preserve">depths under each end of the survey line (</w:t>
      </w:r>
      <m:oMath>
        <m: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  <m:r>
          <m:rPr>
            <m:sty m:val="p"/>
          </m:rPr>
          <m:t>′</m:t>
        </m:r>
      </m:oMath>
      <w:r>
        <w:t xml:space="preserve">) and two true</w:t>
      </w:r>
      <w:r>
        <w:t xml:space="preserve"> </w:t>
      </w:r>
      <w:r>
        <w:t xml:space="preserve">velocities. This is as much as we will obtain from a two-shot (forward and</w:t>
      </w:r>
      <w:r>
        <w:t xml:space="preserve"> </w:t>
      </w:r>
      <w:r>
        <w:t xml:space="preserve">reverse) seismic refraction survey. We have, or can measure, velocities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u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  <m:r>
              <m:t>d</m:t>
            </m:r>
          </m:sub>
        </m:sSub>
      </m:oMath>
      <w:r>
        <w:t xml:space="preserve"> </w:t>
      </w:r>
      <w:r>
        <w:t xml:space="preserve">, and two intercept times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sSub>
          <m:e>
            <m:r>
              <m:rPr>
                <m:sty m:val="p"/>
              </m:rPr>
              <m:t>′</m:t>
            </m:r>
          </m:e>
          <m:sub>
            <m:r>
              <m:t>i</m:t>
            </m:r>
          </m:sub>
        </m:sSub>
      </m:oMath>
      <w:r>
        <w:t xml:space="preserve">. The intercepts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sSub>
          <m:e>
            <m:r>
              <m:rPr>
                <m:sty m:val="p"/>
              </m:rPr>
              <m:t>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be used to</w:t>
      </w:r>
      <w:r>
        <w:t xml:space="preserve"> </w:t>
      </w:r>
      <w:r>
        <w:t xml:space="preserve">calculate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′</m:t>
        </m:r>
      </m:oMath>
      <w:r>
        <w:t xml:space="preserve"> </w:t>
      </w:r>
      <w:r>
        <w:t xml:space="preserve">(using equations (1) and (2) above) because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r>
          <m:t>t</m:t>
        </m:r>
        <m:sSub>
          <m:e>
            <m:r>
              <m:rPr>
                <m:sty m:val="p"/>
              </m:rPr>
              <m:t>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t</m:t>
        </m:r>
        <m:sSub>
          <m:e>
            <m:r>
              <m:rPr>
                <m:sty m:val="p"/>
              </m:rPr>
              <m:t>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can be found using the three velocities obtainable from the T-X plot. Finally,</w:t>
      </w:r>
      <w:r>
        <w:t xml:space="preserve"> </w:t>
      </w:r>
      <w:r>
        <w:t xml:space="preserve">true depths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  <m:r>
          <m:rPr>
            <m:sty m:val="p"/>
          </m:rPr>
          <m:t>′</m:t>
        </m:r>
      </m:oMath>
      <w:r>
        <w:t xml:space="preserve"> </w:t>
      </w:r>
      <w:r>
        <w:t xml:space="preserve">can be found using these slant depths and the</w:t>
      </w:r>
      <w:r>
        <w:t xml:space="preserve"> </w:t>
      </w:r>
      <w:r>
        <w:t xml:space="preserve">relation we found for dip,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What about true refractor velocity,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? Snell's law can of course be</w:t>
      </w:r>
      <w:r>
        <w:t xml:space="preserve"> </w:t>
      </w:r>
      <w:r>
        <w:t xml:space="preserve">invoked. The critical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(referred to above) is obtained from</w:t>
      </w:r>
      <w:r>
        <w:t xml:space="preserve"> </w:t>
      </w:r>
      <w:r>
        <w:t xml:space="preserve">the relation involving updip and downdip velocities, and the known value of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. A less accurate version of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can be obtained by averaging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t>u</m:t>
        </m:r>
      </m:oMath>
      <w:r>
        <w:t xml:space="preserve"> </w:t>
      </w:r>
      <w:r>
        <w:t xml:space="preserve">but your average value will be wrong by a factor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, or 2% to 3% for dips of about 12 degrees.</w:t>
      </w:r>
    </w:p>
    <w:bookmarkStart w:id="20" w:name="profile-geometries"/>
    <w:p>
      <w:pPr>
        <w:pStyle w:val="Heading1"/>
      </w:pPr>
      <w:r>
        <w:t xml:space="preserve">Profile Geometries</w:t>
      </w:r>
    </w:p>
    <w:p>
      <w:pPr>
        <w:pStyle w:val="FirstParagraph"/>
      </w:pPr>
      <w:r>
        <w:t xml:space="preserve">Because interfaces are generally dipping (if not curved and tortuous) one</w:t>
      </w:r>
      <w:r>
        <w:t xml:space="preserve"> </w:t>
      </w:r>
      <w:r>
        <w:t xml:space="preserve">needs to have information from multiple directions or at least some type of</w:t>
      </w:r>
      <w:r>
        <w:t xml:space="preserve"> </w:t>
      </w:r>
      <w:r>
        <w:t xml:space="preserve">overlapping information which can be manipulated to yield the dip. The most</w:t>
      </w:r>
      <w:r>
        <w:t xml:space="preserve"> </w:t>
      </w:r>
      <w:r>
        <w:t xml:space="preserve">common acquisition geometries are:</w:t>
      </w:r>
    </w:p>
    <w:p>
      <w:pPr>
        <w:pStyle w:val="Compact"/>
        <w:numPr>
          <w:ilvl w:val="0"/>
          <w:numId w:val="1001"/>
        </w:numPr>
      </w:pPr>
      <w:r>
        <w:t xml:space="preserve">Reverse profile shots where you fire at both ends of the recording spread.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./images/profile_geom1.gif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Split spread (receivers are spread out from the shot in both directions).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./images/profile_geom2.gif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Single end roll-along.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./images/profile_geom3.gif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Interpretation when layers are dipping</dc:title>
  <dc:creator/>
  <cp:keywords/>
  <dcterms:created xsi:type="dcterms:W3CDTF">2025-01-16T09:29:21Z</dcterms:created>
  <dcterms:modified xsi:type="dcterms:W3CDTF">2025-01-16T09:29:21Z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