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ismic_refraction_irregular_layers"/>
    <w:bookmarkEnd w:id="20"/>
    <w:bookmarkStart w:id="22" w:name="X639694170ddd9170d0537b9f04ac9d6dba18a3b"/>
    <w:p>
      <w:pPr>
        <w:pStyle w:val="Heading1"/>
      </w:pPr>
      <w:r>
        <w:t xml:space="preserve">Irregular Surfaces and the Plus-Minus Method</w:t>
      </w:r>
    </w:p>
    <w:p>
      <w:pPr>
        <w:pStyle w:val="FirstParagraph"/>
      </w:pPr>
      <w:r>
        <w:t xml:space="preserve">There is one more step of sophistication that is required so that the</w:t>
      </w:r>
      <w:r>
        <w:t xml:space="preserve"> </w:t>
      </w:r>
      <w:r>
        <w:t xml:space="preserve">refraction technique is useful. This occurs in environments where the</w:t>
      </w:r>
      <w:r>
        <w:t xml:space="preserve"> </w:t>
      </w:r>
      <w:r>
        <w:t xml:space="preserve">interface has topography and is no longer approximated by a plane. If the</w:t>
      </w:r>
      <w:r>
        <w:t xml:space="preserve"> </w:t>
      </w:r>
      <w:r>
        <w:t xml:space="preserve">curvature of the interface is not too great then we can still think of the</w:t>
      </w:r>
      <w:r>
        <w:t xml:space="preserve"> </w:t>
      </w:r>
      <w:r>
        <w:t xml:space="preserve">refracted wave travelling along the interface. The wave travels at the speed</w:t>
      </w:r>
      <w:r>
        <w:t xml:space="preserve"> </w:t>
      </w:r>
      <w:r>
        <w:t xml:space="preserve">of the lower medium. Consider the sketch to the right. Formulae which</w:t>
      </w:r>
      <w:r>
        <w:t xml:space="preserve"> </w:t>
      </w:r>
      <w:r>
        <w:t xml:space="preserve">explicitly assume a plane interface (even dipping) do not work well enough. We</w:t>
      </w:r>
      <w:r>
        <w:t xml:space="preserve"> </w:t>
      </w:r>
      <w:r>
        <w:t xml:space="preserve">need a better approximation.</w:t>
      </w:r>
    </w:p>
    <w:p>
      <w:pPr>
        <w:pStyle w:val="BodyText"/>
      </w:pPr>
      <w:r>
        <w:t xml:space="preserve">We would like to be able to obtain the depth of the interface beneath the</w:t>
      </w:r>
      <w:r>
        <w:t xml:space="preserve"> </w:t>
      </w:r>
      <w:r>
        <w:t xml:space="preserve">source and receiver. To do this we used the concept of</w:t>
      </w:r>
      <w:r>
        <w:t xml:space="preserve"> </w:t>
      </w:r>
      <w:r>
        <w:rPr>
          <w:i/>
          <w:iCs/>
        </w:rPr>
        <w:t xml:space="preserve">delay time</w:t>
      </w:r>
      <w:r>
        <w:t xml:space="preserve">. Consider</w:t>
      </w:r>
      <w:r>
        <w:t xml:space="preserve"> </w:t>
      </w:r>
      <w:r>
        <w:t xml:space="preserve">the diagram to the right. The travel time is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/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be thought of as the time delay.</w:t>
      </w:r>
    </w:p>
    <w:p>
      <w:pPr>
        <w:pStyle w:val="BodyText"/>
      </w:pPr>
      <w:r>
        <w:t xml:space="preserve">The delay time can be partitioned into two parts: (1) the "delay" associated</w:t>
      </w:r>
      <w:r>
        <w:t xml:space="preserve"> </w:t>
      </w:r>
      <w:r>
        <w:t xml:space="preserve">with the source location and (2) the "delay" associated with the receiver</w:t>
      </w:r>
      <w:r>
        <w:t xml:space="preserve"> </w:t>
      </w:r>
      <w:r>
        <w:t xml:space="preserve">location. Consider the delay at the source.</w:t>
      </w:r>
    </w:p>
    <w:p>
      <w:pPr>
        <w:pStyle w:val="BodyText"/>
      </w:pPr>
      <w:r>
        <w:t xml:space="preserve">Let the delay time be denoted by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z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sin</m:t>
              </m:r>
              <m:r>
                <m:t>θ</m:t>
              </m:r>
              <m:r>
                <m:rPr>
                  <m:sty m:val="p"/>
                </m:rPr>
                <m:t>cos</m:t>
              </m:r>
              <m:r>
                <m:t>θ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z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tan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z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tan</m:t>
              </m:r>
              <m:r>
                <m:t>θ</m:t>
              </m:r>
            </m:den>
          </m:f>
        </m:oMath>
      </m:oMathPara>
    </w:p>
    <w:p>
      <w:pPr>
        <w:pStyle w:val="FirstParagraph"/>
      </w:pPr>
      <w:r>
        <w:t xml:space="preserve">Finally, using the definition of the velocity triangle we can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num>
            <m:den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>
      <w:pPr>
        <w:pStyle w:val="FirstParagraph"/>
      </w:pPr>
      <w:r>
        <w:t xml:space="preserve">Thus the depth can be computed if the delay time,</w:t>
      </w:r>
      <w:r>
        <w:t xml:space="preserve"> </w:t>
      </w:r>
      <m:oMath>
        <m:r>
          <m:t>a</m:t>
        </m:r>
      </m:oMath>
      <w:r>
        <w:t xml:space="preserve">, can be measured.</w:t>
      </w:r>
    </w:p>
    <w:p>
      <w:pPr>
        <w:pStyle w:val="BodyText"/>
      </w:pPr>
      <w:r>
        <w:t xml:space="preserve">We can write any general travel time so that it involves a delay at the source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 a delay at the receiver or detector</w:t>
      </w:r>
      <w:r>
        <w:t xml:space="preserve"> </w:t>
      </w:r>
      <m:oMath>
        <m:sSub>
          <m:e>
            <m:r>
              <m:t>a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. It looks like</w:t>
      </w:r>
      <w:r>
        <w:t xml:space="preserve"> </w:t>
      </w:r>
      <w:r>
        <w:t xml:space="preserve">this: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 in the diagram at the top of this page,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might be</w:t>
      </w:r>
      <w:r>
        <w:t xml:space="preserve"> </w:t>
      </w:r>
      <w:r>
        <w:t xml:space="preserve">very different. To make progress we implement Hagedoorn's "Plus-Minus" method.</w:t>
      </w:r>
      <w:r>
        <w:t xml:space="preserve"> </w:t>
      </w:r>
      <w:r>
        <w:t xml:space="preserve">This method will also make it possible to estimate depths under every geophone</w:t>
      </w:r>
      <w:r>
        <w:t xml:space="preserve"> </w:t>
      </w:r>
      <w:r>
        <w:t xml:space="preserve">that has a refracted signal from both sources. This will yield several depths</w:t>
      </w:r>
      <w:r>
        <w:t xml:space="preserve"> </w:t>
      </w:r>
      <w:r>
        <w:t xml:space="preserve">under the survey line rather than just two depths under sources, thus allowing</w:t>
      </w:r>
      <w:r>
        <w:t xml:space="preserve"> </w:t>
      </w:r>
      <w:r>
        <w:t xml:space="preserve">more detailed image of the interface's shape.</w:t>
      </w:r>
    </w:p>
    <w:bookmarkStart w:id="21" w:name="hagedoorns-plus-minus-method"/>
    <w:p>
      <w:pPr>
        <w:pStyle w:val="Heading2"/>
      </w:pPr>
      <w:r>
        <w:t xml:space="preserve">Hagedoorn's Plus-Minus Method</w:t>
      </w:r>
    </w:p>
    <w:p>
      <w:pPr>
        <w:pStyle w:val="FirstParagraph"/>
      </w:pPr>
      <w:r>
        <w:t xml:space="preserve">The geometry illustrates the two shots occurring at locations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. The point indicated by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lies at any location (i.e. any</w:t>
      </w:r>
      <w:r>
        <w:t xml:space="preserve"> </w:t>
      </w:r>
      <w:r>
        <w:t xml:space="preserve">geophone) between the two shots where refractions can be received from both</w:t>
      </w:r>
      <w:r>
        <w:t xml:space="preserve"> </w:t>
      </w:r>
      <w:r>
        <w:t xml:space="preserve">shots. Let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S</m:t>
            </m:r>
            <m:r>
              <m:t>2</m:t>
            </m:r>
          </m:sub>
        </m:sSub>
      </m:oMath>
      <w:r>
        <w:t xml:space="preserve"> </w:t>
      </w:r>
      <w:r>
        <w:t xml:space="preserve">denote the delay times at the two</w:t>
      </w:r>
      <w:r>
        <w:t xml:space="preserve"> </w:t>
      </w:r>
      <w:r>
        <w:t xml:space="preserve">shot locations. Although the refracting interface is not flat beneath</w:t>
      </w:r>
      <w:r>
        <w:t xml:space="preserve"> </w:t>
      </w:r>
      <m:oMath>
        <m:r>
          <m:t>D</m:t>
        </m:r>
      </m:oMath>
      <w:r>
        <w:t xml:space="preserve">,</w:t>
      </w:r>
      <w:r>
        <w:t xml:space="preserve"> </w:t>
      </w:r>
      <w:r>
        <w:t xml:space="preserve">the slope is not large an d the ray path lengths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are</w:t>
      </w:r>
      <w:r>
        <w:t xml:space="preserve"> </w:t>
      </w:r>
      <w:r>
        <w:t xml:space="preserve">almost identical.</w:t>
      </w:r>
    </w:p>
    <w:p>
      <w:pPr>
        <w:pStyle w:val="BodyText"/>
      </w:pPr>
      <w:r>
        <w:t xml:space="preserve">Let us write all portions of the travel times for signals that would travel</w:t>
      </w:r>
      <w:r>
        <w:t xml:space="preserve"> </w:t>
      </w:r>
      <w:r>
        <w:t xml:space="preserve">between</w:t>
      </w:r>
      <w:r>
        <w:t xml:space="preserve"> </w:t>
      </w:r>
      <m:oMath>
        <m:r>
          <m:t>S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t>2</m:t>
        </m:r>
      </m:oMath>
      <w:r>
        <w:t xml:space="preserve">, between</w:t>
      </w:r>
      <w:r>
        <w:t xml:space="preserve"> </w:t>
      </w:r>
      <m:oMath>
        <m:r>
          <m:t>S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, and</w:t>
      </w:r>
      <w:r>
        <w:t xml:space="preserve"> </w:t>
      </w:r>
      <w:r>
        <w:t xml:space="preserve">between</w:t>
      </w:r>
      <w:r>
        <w:t xml:space="preserve"> </w:t>
      </w:r>
      <m:oMath>
        <m:r>
          <m:t>S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. These travel times are: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2025-01-16T09:29:21Z</dcterms:created>
  <dcterms:modified xsi:type="dcterms:W3CDTF">2025-01-16T09:29:21Z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