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2A11B484" w14:textId="28D62927" w:rsidR="008F7A4F" w:rsidRPr="00C530F8" w:rsidRDefault="00E56289" w:rsidP="008F7A4F">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listener’s judgement of many sound categories can be influenced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0AD66078" w14:textId="77777777" w:rsidR="00E171E4"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p>
    <w:p w14:paraId="261CABBF" w14:textId="51A6E61A" w:rsidR="00CE147D" w:rsidRPr="00C530F8" w:rsidRDefault="00CE147D" w:rsidP="008F7A4F">
      <w:pPr>
        <w:rPr>
          <w:rFonts w:ascii="Sylfaen" w:hAnsi="Sylfaen"/>
          <w:color w:val="410C01"/>
          <w:sz w:val="20"/>
          <w:szCs w:val="20"/>
        </w:rPr>
      </w:pPr>
      <w:r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0473A69D" w14:textId="77777777" w:rsidR="00657418" w:rsidRDefault="00657418">
      <w:pPr>
        <w:rPr>
          <w:rFonts w:ascii="Sylfaen" w:hAnsi="Sylfaen"/>
          <w:color w:val="410C01"/>
          <w:sz w:val="20"/>
          <w:szCs w:val="20"/>
        </w:rPr>
      </w:pPr>
      <w:r>
        <w:rPr>
          <w:rFonts w:ascii="Sylfaen" w:hAnsi="Sylfaen"/>
          <w:color w:val="410C01"/>
          <w:sz w:val="20"/>
          <w:szCs w:val="20"/>
        </w:rPr>
        <w:br w:type="page"/>
      </w:r>
    </w:p>
    <w:p w14:paraId="1809E3B8" w14:textId="63CB8ECE" w:rsidR="00530452" w:rsidRPr="00C530F8" w:rsidRDefault="00530452" w:rsidP="008F7A4F">
      <w:pPr>
        <w:rPr>
          <w:rFonts w:ascii="Sylfaen" w:hAnsi="Sylfaen"/>
          <w:color w:val="410C01"/>
          <w:sz w:val="20"/>
          <w:szCs w:val="20"/>
        </w:rPr>
      </w:pPr>
      <w:r w:rsidRPr="00C530F8">
        <w:rPr>
          <w:rFonts w:ascii="Sylfaen" w:hAnsi="Sylfaen"/>
          <w:color w:val="410C01"/>
          <w:sz w:val="20"/>
          <w:szCs w:val="20"/>
        </w:rPr>
        <w:lastRenderedPageBreak/>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Pr="00BE5906" w:rsidRDefault="00E87D64">
      <w:pPr>
        <w:rPr>
          <w:rFonts w:ascii="Sylfaen" w:hAnsi="Sylfaen"/>
          <w:color w:val="410C01"/>
          <w:sz w:val="20"/>
          <w:szCs w:val="20"/>
        </w:rPr>
      </w:pPr>
      <w:r>
        <w:rPr>
          <w:rFonts w:ascii="Sylfaen" w:hAnsi="Sylfaen"/>
          <w:color w:val="410C01"/>
          <w:sz w:val="20"/>
          <w:szCs w:val="20"/>
        </w:rPr>
        <w:t xml:space="preserve">For there to be a 50% chance that the attended talker is in one ear, plus a 50% chance that the attended talker is also saying a word, the critical trials would have to make up 25% of the trials in the experiment. This would result in 80 total trials, where 60 trials are </w:t>
      </w:r>
      <w:r w:rsidRPr="00BE5906">
        <w:rPr>
          <w:rFonts w:ascii="Sylfaen" w:hAnsi="Sylfaen"/>
          <w:color w:val="410C01"/>
          <w:sz w:val="20"/>
          <w:szCs w:val="20"/>
        </w:rPr>
        <w:t>fillers.</w:t>
      </w:r>
    </w:p>
    <w:p w14:paraId="52E71289" w14:textId="22D14883" w:rsidR="00687FAD" w:rsidRDefault="00687FAD">
      <w:pPr>
        <w:rPr>
          <w:rFonts w:ascii="Sylfaen" w:hAnsi="Sylfaen"/>
          <w:color w:val="410C01"/>
          <w:sz w:val="20"/>
          <w:szCs w:val="20"/>
        </w:rPr>
      </w:pPr>
      <w:r w:rsidRPr="00BE5906">
        <w:rPr>
          <w:rFonts w:ascii="Sylfaen" w:hAnsi="Sylfaen"/>
          <w:color w:val="410C01"/>
          <w:sz w:val="20"/>
          <w:szCs w:val="20"/>
        </w:rPr>
        <w:t>Like</w:t>
      </w:r>
      <w:r>
        <w:rPr>
          <w:rFonts w:ascii="Sylfaen" w:hAnsi="Sylfaen"/>
          <w:color w:val="410C01"/>
          <w:sz w:val="20"/>
          <w:szCs w:val="20"/>
        </w:rPr>
        <w:t xml:space="preserv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2CE80C49"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613ECB05"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DA59" w14:textId="77777777" w:rsidR="00CC6DE7" w:rsidRDefault="00CC6DE7" w:rsidP="00F322DD">
      <w:pPr>
        <w:spacing w:after="0" w:line="240" w:lineRule="auto"/>
      </w:pPr>
      <w:r>
        <w:separator/>
      </w:r>
    </w:p>
  </w:endnote>
  <w:endnote w:type="continuationSeparator" w:id="0">
    <w:p w14:paraId="042D09ED" w14:textId="77777777" w:rsidR="00CC6DE7" w:rsidRDefault="00CC6DE7"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18E1" w14:textId="77777777" w:rsidR="00CC6DE7" w:rsidRDefault="00CC6DE7" w:rsidP="00F322DD">
      <w:pPr>
        <w:spacing w:after="0" w:line="240" w:lineRule="auto"/>
      </w:pPr>
      <w:r>
        <w:separator/>
      </w:r>
    </w:p>
  </w:footnote>
  <w:footnote w:type="continuationSeparator" w:id="0">
    <w:p w14:paraId="2B5CC7B1" w14:textId="77777777" w:rsidR="00CC6DE7" w:rsidRDefault="00CC6DE7"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322855E2" w:rsidR="007A7044" w:rsidRPr="007A7044" w:rsidRDefault="007A7044" w:rsidP="007A7044">
    <w:pPr>
      <w:pStyle w:val="Header"/>
      <w:jc w:val="center"/>
      <w:rPr>
        <w:rFonts w:ascii="Sylfaen" w:hAnsi="Sylfaen"/>
        <w:color w:val="410C01"/>
      </w:rPr>
    </w:pPr>
    <w:r w:rsidRPr="00275EBC">
      <w:rPr>
        <w:rFonts w:ascii="Sylfaen" w:hAnsi="Sylfaen"/>
        <w:color w:val="410C01"/>
      </w:rPr>
      <w:t>Experiment 1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21CC2"/>
    <w:rsid w:val="00080499"/>
    <w:rsid w:val="000816CC"/>
    <w:rsid w:val="000D5DB4"/>
    <w:rsid w:val="001A0840"/>
    <w:rsid w:val="0022586E"/>
    <w:rsid w:val="0027596C"/>
    <w:rsid w:val="00275EBC"/>
    <w:rsid w:val="00290E99"/>
    <w:rsid w:val="00390B12"/>
    <w:rsid w:val="003B44B9"/>
    <w:rsid w:val="0048198C"/>
    <w:rsid w:val="00530452"/>
    <w:rsid w:val="00657418"/>
    <w:rsid w:val="00687FAD"/>
    <w:rsid w:val="006D4BBD"/>
    <w:rsid w:val="0072315F"/>
    <w:rsid w:val="007708B0"/>
    <w:rsid w:val="007A7044"/>
    <w:rsid w:val="007E290A"/>
    <w:rsid w:val="00836EE1"/>
    <w:rsid w:val="0084648B"/>
    <w:rsid w:val="008C578D"/>
    <w:rsid w:val="008D1F86"/>
    <w:rsid w:val="008F7A4F"/>
    <w:rsid w:val="009562FC"/>
    <w:rsid w:val="0096099B"/>
    <w:rsid w:val="00A14BF4"/>
    <w:rsid w:val="00AA5753"/>
    <w:rsid w:val="00AD231F"/>
    <w:rsid w:val="00B34844"/>
    <w:rsid w:val="00BA4FEC"/>
    <w:rsid w:val="00BD7EE7"/>
    <w:rsid w:val="00BE5906"/>
    <w:rsid w:val="00C530F8"/>
    <w:rsid w:val="00CB12CF"/>
    <w:rsid w:val="00CC6DE7"/>
    <w:rsid w:val="00CE147D"/>
    <w:rsid w:val="00CF03B9"/>
    <w:rsid w:val="00D21406"/>
    <w:rsid w:val="00D25D59"/>
    <w:rsid w:val="00D26154"/>
    <w:rsid w:val="00D867C9"/>
    <w:rsid w:val="00D97391"/>
    <w:rsid w:val="00DF7C52"/>
    <w:rsid w:val="00E171E4"/>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8091</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8</cp:revision>
  <dcterms:created xsi:type="dcterms:W3CDTF">2022-08-14T22:19:00Z</dcterms:created>
  <dcterms:modified xsi:type="dcterms:W3CDTF">2022-10-20T18:07:00Z</dcterms:modified>
</cp:coreProperties>
</file>