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w:hAnsi="Aptos" w:eastAsia="Aptos"/>
          <w:b/>
          <w:color w:val="1F4E79"/>
          <w:sz w:val="60"/>
        </w:rPr>
        <w:t>Kvant</w:t>
      </w:r>
    </w:p>
    <w:p>
      <w:pPr>
        <w:jc w:val="center"/>
      </w:pPr>
      <w:r>
        <w:rPr>
          <w:rFonts w:ascii="Aptos" w:hAnsi="Aptos" w:eastAsia="Aptos"/>
          <w:color w:val="2F5597"/>
          <w:sz w:val="32"/>
        </w:rPr>
        <w:t>Detailed Project Description</w:t>
      </w:r>
    </w:p>
    <w:p>
      <w:pPr>
        <w:jc w:val="center"/>
      </w:pPr>
      <w:r>
        <w:rPr>
          <w:rFonts w:ascii="Aptos" w:hAnsi="Aptos" w:eastAsia="Aptos"/>
        </w:rPr>
        <w:t>A reproducible research pipeline for short-horizon US equity trading using minute-level features, event sampling, triple-barrier labels, side prediction, meta-label trade filtering, and budget-constrained portfolio evaluation.</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1F4E79"/>
          </w:tcPr>
          <w:p>
            <w:pPr>
              <w:spacing w:after="0"/>
            </w:pPr>
            <w:r/>
            <w:r>
              <w:rPr>
                <w:b/>
                <w:color w:val="FFFFFF"/>
              </w:rPr>
              <w:t>Current approach</w:t>
            </w:r>
          </w:p>
        </w:tc>
        <w:tc>
          <w:tcPr>
            <w:tcW w:type="dxa" w:w="8064"/>
            <w:vAlign w:val="center"/>
            <w:shd w:fill="1F4E79"/>
          </w:tcPr>
          <w:p>
            <w:pPr>
              <w:spacing w:after="0"/>
            </w:pPr>
            <w:r/>
            <w:r>
              <w:rPr>
                <w:b/>
                <w:color w:val="FFFFFF"/>
              </w:rPr>
              <w:t>Status</w:t>
            </w:r>
          </w:p>
        </w:tc>
      </w:tr>
      <w:tr>
        <w:tc>
          <w:tcPr>
            <w:tcW w:type="dxa" w:w="2448"/>
            <w:vAlign w:val="center"/>
          </w:tcPr>
          <w:p>
            <w:pPr>
              <w:spacing w:after="0"/>
            </w:pPr>
            <w:r/>
            <w:r>
              <w:rPr>
                <w:b w:val="0"/>
              </w:rPr>
              <w:t>Data</w:t>
            </w:r>
          </w:p>
        </w:tc>
        <w:tc>
          <w:tcPr>
            <w:tcW w:type="dxa" w:w="8064"/>
            <w:vAlign w:val="center"/>
          </w:tcPr>
          <w:p>
            <w:pPr>
              <w:spacing w:after="0"/>
            </w:pPr>
            <w:r/>
            <w:r>
              <w:rPr>
                <w:b w:val="0"/>
              </w:rPr>
              <w:t>Minute-level US equity OHLCV with walk-forward train/validation/test folds.</w:t>
            </w:r>
          </w:p>
        </w:tc>
      </w:tr>
      <w:tr>
        <w:tc>
          <w:tcPr>
            <w:tcW w:type="dxa" w:w="2448"/>
            <w:vAlign w:val="center"/>
          </w:tcPr>
          <w:p>
            <w:pPr>
              <w:spacing w:after="0"/>
            </w:pPr>
            <w:r/>
            <w:r>
              <w:rPr>
                <w:b w:val="0"/>
              </w:rPr>
              <w:t>Preparation</w:t>
            </w:r>
          </w:p>
        </w:tc>
        <w:tc>
          <w:tcPr>
            <w:tcW w:type="dxa" w:w="8064"/>
            <w:vAlign w:val="center"/>
          </w:tcPr>
          <w:p>
            <w:pPr>
              <w:spacing w:after="0"/>
            </w:pPr>
            <w:r/>
            <w:r>
              <w:rPr>
                <w:b w:val="0"/>
              </w:rPr>
              <w:t>Features are computed before event sampling; learned preparation state is fitted on train data only.</w:t>
            </w:r>
          </w:p>
        </w:tc>
      </w:tr>
      <w:tr>
        <w:tc>
          <w:tcPr>
            <w:tcW w:type="dxa" w:w="2448"/>
            <w:vAlign w:val="center"/>
          </w:tcPr>
          <w:p>
            <w:pPr>
              <w:spacing w:after="0"/>
            </w:pPr>
            <w:r/>
            <w:r>
              <w:rPr>
                <w:b w:val="0"/>
              </w:rPr>
              <w:t>Labels</w:t>
            </w:r>
          </w:p>
        </w:tc>
        <w:tc>
          <w:tcPr>
            <w:tcW w:type="dxa" w:w="8064"/>
            <w:vAlign w:val="center"/>
          </w:tcPr>
          <w:p>
            <w:pPr>
              <w:spacing w:after="0"/>
            </w:pPr>
            <w:r/>
            <w:r>
              <w:rPr>
                <w:b w:val="0"/>
              </w:rPr>
              <w:t>Raw event_outcome labels are retained as down, exit, and up.</w:t>
            </w:r>
          </w:p>
        </w:tc>
      </w:tr>
      <w:tr>
        <w:tc>
          <w:tcPr>
            <w:tcW w:type="dxa" w:w="2448"/>
            <w:vAlign w:val="center"/>
          </w:tcPr>
          <w:p>
            <w:pPr>
              <w:spacing w:after="0"/>
            </w:pPr>
            <w:r/>
            <w:r>
              <w:rPr>
                <w:b w:val="0"/>
              </w:rPr>
              <w:t>Execution timing</w:t>
            </w:r>
          </w:p>
        </w:tc>
        <w:tc>
          <w:tcPr>
            <w:tcW w:type="dxa" w:w="8064"/>
            <w:vAlign w:val="center"/>
          </w:tcPr>
          <w:p>
            <w:pPr>
              <w:spacing w:after="0"/>
            </w:pPr>
            <w:r/>
            <w:r>
              <w:rPr>
                <w:b w:val="0"/>
              </w:rPr>
              <w:t>The sampled row is the signal; trades enter on the next sampled bar.</w:t>
            </w:r>
          </w:p>
        </w:tc>
      </w:tr>
      <w:tr>
        <w:tc>
          <w:tcPr>
            <w:tcW w:type="dxa" w:w="2448"/>
            <w:vAlign w:val="center"/>
          </w:tcPr>
          <w:p>
            <w:pPr>
              <w:spacing w:after="0"/>
            </w:pPr>
            <w:r/>
            <w:r>
              <w:rPr>
                <w:b w:val="0"/>
              </w:rPr>
              <w:t>Leakage control</w:t>
            </w:r>
          </w:p>
        </w:tc>
        <w:tc>
          <w:tcPr>
            <w:tcW w:type="dxa" w:w="8064"/>
            <w:vAlign w:val="center"/>
          </w:tcPr>
          <w:p>
            <w:pPr>
              <w:spacing w:after="0"/>
            </w:pPr>
            <w:r/>
            <w:r>
              <w:rPr>
                <w:b w:val="0"/>
              </w:rPr>
              <w:t>Label intervals crossing split boundaries are purged and embargoed.</w:t>
            </w:r>
          </w:p>
        </w:tc>
      </w:tr>
      <w:tr>
        <w:tc>
          <w:tcPr>
            <w:tcW w:type="dxa" w:w="2448"/>
            <w:vAlign w:val="center"/>
          </w:tcPr>
          <w:p>
            <w:pPr>
              <w:spacing w:after="0"/>
            </w:pPr>
            <w:r/>
            <w:r>
              <w:rPr>
                <w:b w:val="0"/>
              </w:rPr>
              <w:t>Evaluation</w:t>
            </w:r>
          </w:p>
        </w:tc>
        <w:tc>
          <w:tcPr>
            <w:tcW w:type="dxa" w:w="8064"/>
            <w:vAlign w:val="center"/>
          </w:tcPr>
          <w:p>
            <w:pPr>
              <w:spacing w:after="0"/>
            </w:pPr>
            <w:r/>
            <w:r>
              <w:rPr>
                <w:b w:val="0"/>
              </w:rPr>
              <w:t>W&amp;B logs side, meta, decision, execution, paper-economics, and portfolio-account metrics.</w:t>
            </w:r>
          </w:p>
        </w:tc>
      </w:tr>
    </w:tbl>
    <w:p/>
    <w:p>
      <w:pPr>
        <w:pStyle w:val="Heading1"/>
      </w:pPr>
      <w:r>
        <w:rPr>
          <w:rFonts w:ascii="Aptos" w:hAnsi="Aptos" w:eastAsia="Aptos"/>
        </w:rPr>
        <w:t>1. Executive Summary</w:t>
      </w:r>
    </w:p>
    <w:p>
      <w:r>
        <w:rPr>
          <w:rFonts w:ascii="Aptos" w:hAnsi="Aptos" w:eastAsia="Aptos"/>
        </w:rPr>
        <w:t>Kvant is a machine-learning research project for short-horizon trading on minute-level US equity data. The project is designed around the idea that a useful trading model should not only predict direction. It should also decide whether a proposed trade is worth taking, and it should be evaluated under explicit timing, transaction-cost, overlap, and capital-allocation assumptions.</w:t>
      </w:r>
    </w:p>
    <w:p>
      <w:r>
        <w:rPr>
          <w:rFonts w:ascii="Aptos" w:hAnsi="Aptos" w:eastAsia="Aptos"/>
        </w:rPr>
        <w:t>The current pipeline follows a Lopez de Prado-inspired side-plus-meta-labeling design. Prepared artifacts keep the raw three-class triple-barrier event outcome: down, exit, and up. Training derives a binary primary side target from actionable down/up examples, trains a side classifier, and then uses a meta-label decision layer to convert proposed side predictions into TAKE or PASS decisions.</w:t>
      </w:r>
    </w:p>
    <w:p>
      <w:r>
        <w:rPr>
          <w:rFonts w:ascii="Aptos" w:hAnsi="Aptos" w:eastAsia="Aptos"/>
        </w:rPr>
        <w:t>The latest project approach makes portfolio realism a first-class evaluation layer. The older paper-style backtest remains useful as a diagnostic trade-level view, but final economic claims should use the budget-constrained portfolio simulator. That simulator tracks cash, open positions, exposure, transaction costs, skipped-budget trades, drawdown, Sharpe, and final account value.</w:t>
      </w:r>
    </w:p>
    <w:p>
      <w:pPr>
        <w:pStyle w:val="Heading1"/>
      </w:pPr>
      <w:r>
        <w:rPr>
          <w:rFonts w:ascii="Aptos" w:hAnsi="Aptos" w:eastAsia="Aptos"/>
        </w:rPr>
        <w:t>2. Research Goal</w:t>
      </w:r>
    </w:p>
    <w:p>
      <w:r>
        <w:rPr>
          <w:rFonts w:ascii="Aptos" w:hAnsi="Aptos" w:eastAsia="Aptos"/>
        </w:rPr>
        <w:t>The core research question is whether event-based sampling, triple-barrier labels, and meta-label trade filtering can produce out-of-sample trading decisions that remain interpretable after costs and realistic account constraints. The project therefore treats validation accuracy as only one diagnostic, not the final objective.</w:t>
      </w:r>
    </w:p>
    <w:p>
      <w:pPr>
        <w:pStyle w:val="ListBullet"/>
      </w:pPr>
      <w:r>
        <w:rPr>
          <w:rFonts w:ascii="Aptos" w:hAnsi="Aptos" w:eastAsia="Aptos"/>
        </w:rPr>
        <w:t>Primary goal: learn directional side on actionable events.</w:t>
      </w:r>
    </w:p>
    <w:p>
      <w:pPr>
        <w:pStyle w:val="ListBullet"/>
      </w:pPr>
      <w:r>
        <w:rPr>
          <w:rFonts w:ascii="Aptos" w:hAnsi="Aptos" w:eastAsia="Aptos"/>
        </w:rPr>
        <w:t>Decision goal: abstain from low-quality or ambiguous predictions.</w:t>
      </w:r>
    </w:p>
    <w:p>
      <w:pPr>
        <w:pStyle w:val="ListBullet"/>
      </w:pPr>
      <w:r>
        <w:rPr>
          <w:rFonts w:ascii="Aptos" w:hAnsi="Aptos" w:eastAsia="Aptos"/>
        </w:rPr>
        <w:t>Execution goal: enter only after the model signal is known and avoid overlapping same-ticker trades.</w:t>
      </w:r>
    </w:p>
    <w:p>
      <w:pPr>
        <w:pStyle w:val="ListBullet"/>
      </w:pPr>
      <w:r>
        <w:rPr>
          <w:rFonts w:ascii="Aptos" w:hAnsi="Aptos" w:eastAsia="Aptos"/>
        </w:rPr>
        <w:t>Portfolio goal: simulate one finite account with position-size, exposure, and concurrent-position limits.</w:t>
      </w:r>
    </w:p>
    <w:p>
      <w:pPr>
        <w:pStyle w:val="Heading1"/>
      </w:pPr>
      <w:r>
        <w:rPr>
          <w:rFonts w:ascii="Aptos" w:hAnsi="Aptos" w:eastAsia="Aptos"/>
        </w:rPr>
        <w:t>3. Current Pipeline</w:t>
      </w:r>
    </w:p>
    <w:tbl>
      <w:tblPr>
        <w:tblStyle w:val="TableGrid"/>
        <w:tblW w:type="auto" w:w="0"/>
        <w:jc w:val="center"/>
        <w:tblLook w:firstColumn="1" w:firstRow="1" w:lastColumn="0" w:lastRow="0" w:noHBand="0" w:noVBand="1" w:val="04A0"/>
      </w:tblPr>
      <w:tblGrid>
        <w:gridCol w:w="3360"/>
        <w:gridCol w:w="3360"/>
        <w:gridCol w:w="3360"/>
      </w:tblGrid>
      <w:tr>
        <w:tc>
          <w:tcPr>
            <w:tcW w:type="dxa" w:w="1800"/>
            <w:vAlign w:val="center"/>
            <w:shd w:fill="1F4E79"/>
          </w:tcPr>
          <w:p>
            <w:pPr>
              <w:spacing w:after="0"/>
            </w:pPr>
            <w:r/>
            <w:r>
              <w:rPr>
                <w:b/>
                <w:color w:val="FFFFFF"/>
              </w:rPr>
              <w:t>Step</w:t>
            </w:r>
          </w:p>
        </w:tc>
        <w:tc>
          <w:tcPr>
            <w:tcW w:type="dxa" w:w="4464"/>
            <w:vAlign w:val="center"/>
            <w:shd w:fill="1F4E79"/>
          </w:tcPr>
          <w:p>
            <w:pPr>
              <w:spacing w:after="0"/>
            </w:pPr>
            <w:r/>
            <w:r>
              <w:rPr>
                <w:b/>
                <w:color w:val="FFFFFF"/>
              </w:rPr>
              <w:t>Description</w:t>
            </w:r>
          </w:p>
        </w:tc>
        <w:tc>
          <w:tcPr>
            <w:tcW w:type="dxa" w:w="4608"/>
            <w:vAlign w:val="center"/>
            <w:shd w:fill="1F4E79"/>
          </w:tcPr>
          <w:p>
            <w:pPr>
              <w:spacing w:after="0"/>
            </w:pPr>
            <w:r/>
            <w:r>
              <w:rPr>
                <w:b/>
                <w:color w:val="FFFFFF"/>
              </w:rPr>
              <w:t>Leakage / realism control</w:t>
            </w:r>
          </w:p>
        </w:tc>
      </w:tr>
      <w:tr>
        <w:tc>
          <w:tcPr>
            <w:tcW w:type="dxa" w:w="1800"/>
            <w:vAlign w:val="center"/>
          </w:tcPr>
          <w:p>
            <w:pPr>
              <w:spacing w:after="0"/>
            </w:pPr>
            <w:r/>
            <w:r>
              <w:rPr>
                <w:b w:val="0"/>
              </w:rPr>
              <w:t>1. Data loading</w:t>
            </w:r>
          </w:p>
        </w:tc>
        <w:tc>
          <w:tcPr>
            <w:tcW w:type="dxa" w:w="4464"/>
            <w:vAlign w:val="center"/>
          </w:tcPr>
          <w:p>
            <w:pPr>
              <w:spacing w:after="0"/>
            </w:pPr>
            <w:r/>
            <w:r>
              <w:rPr>
                <w:b w:val="0"/>
              </w:rPr>
              <w:t>Download or cache minute OHLCV shards and select top-volume US equities.</w:t>
            </w:r>
          </w:p>
        </w:tc>
        <w:tc>
          <w:tcPr>
            <w:tcW w:type="dxa" w:w="4608"/>
            <w:vAlign w:val="center"/>
          </w:tcPr>
          <w:p>
            <w:pPr>
              <w:spacing w:after="0"/>
            </w:pPr>
            <w:r/>
            <w:r>
              <w:rPr>
                <w:b w:val="0"/>
              </w:rPr>
              <w:t>Chronological walk-forward folds, not random splits.</w:t>
            </w:r>
          </w:p>
        </w:tc>
      </w:tr>
      <w:tr>
        <w:tc>
          <w:tcPr>
            <w:tcW w:type="dxa" w:w="1800"/>
            <w:vAlign w:val="center"/>
          </w:tcPr>
          <w:p>
            <w:pPr>
              <w:spacing w:after="0"/>
            </w:pPr>
            <w:r/>
            <w:r>
              <w:rPr>
                <w:b w:val="0"/>
              </w:rPr>
              <w:t>2. Feature engineering</w:t>
            </w:r>
          </w:p>
        </w:tc>
        <w:tc>
          <w:tcPr>
            <w:tcW w:type="dxa" w:w="4464"/>
            <w:vAlign w:val="center"/>
          </w:tcPr>
          <w:p>
            <w:pPr>
              <w:spacing w:after="0"/>
            </w:pPr>
            <w:r/>
            <w:r>
              <w:rPr>
                <w:b w:val="0"/>
              </w:rPr>
              <w:t>Compute intraday technical indicators on minute bars before event sampling.</w:t>
            </w:r>
          </w:p>
        </w:tc>
        <w:tc>
          <w:tcPr>
            <w:tcW w:type="dxa" w:w="4608"/>
            <w:vAlign w:val="center"/>
          </w:tcPr>
          <w:p>
            <w:pPr>
              <w:spacing w:after="0"/>
            </w:pPr>
            <w:r/>
            <w:r>
              <w:rPr>
                <w:b w:val="0"/>
              </w:rPr>
              <w:t>Feature values are sampled at event timestamps after indicators are built on the regular minute grid.</w:t>
            </w:r>
          </w:p>
        </w:tc>
      </w:tr>
      <w:tr>
        <w:tc>
          <w:tcPr>
            <w:tcW w:type="dxa" w:w="1800"/>
            <w:vAlign w:val="center"/>
          </w:tcPr>
          <w:p>
            <w:pPr>
              <w:spacing w:after="0"/>
            </w:pPr>
            <w:r/>
            <w:r>
              <w:rPr>
                <w:b w:val="0"/>
              </w:rPr>
              <w:t>3. Train-only fitting</w:t>
            </w:r>
          </w:p>
        </w:tc>
        <w:tc>
          <w:tcPr>
            <w:tcW w:type="dxa" w:w="4464"/>
            <w:vAlign w:val="center"/>
          </w:tcPr>
          <w:p>
            <w:pPr>
              <w:spacing w:after="0"/>
            </w:pPr>
            <w:r/>
            <w:r>
              <w:rPr>
                <w:b w:val="0"/>
              </w:rPr>
              <w:t>Fit sampler parameters, scalers, and supervised feature selector from train data.</w:t>
            </w:r>
          </w:p>
        </w:tc>
        <w:tc>
          <w:tcPr>
            <w:tcW w:type="dxa" w:w="4608"/>
            <w:vAlign w:val="center"/>
          </w:tcPr>
          <w:p>
            <w:pPr>
              <w:spacing w:after="0"/>
            </w:pPr>
            <w:r/>
            <w:r>
              <w:rPr>
                <w:b w:val="0"/>
              </w:rPr>
              <w:t>Validation/test distributions and labels are not used to fit preparation state.</w:t>
            </w:r>
          </w:p>
        </w:tc>
      </w:tr>
      <w:tr>
        <w:tc>
          <w:tcPr>
            <w:tcW w:type="dxa" w:w="1800"/>
            <w:vAlign w:val="center"/>
          </w:tcPr>
          <w:p>
            <w:pPr>
              <w:spacing w:after="0"/>
            </w:pPr>
            <w:r/>
            <w:r>
              <w:rPr>
                <w:b w:val="0"/>
              </w:rPr>
              <w:t>4. Event sampling</w:t>
            </w:r>
          </w:p>
        </w:tc>
        <w:tc>
          <w:tcPr>
            <w:tcW w:type="dxa" w:w="4464"/>
            <w:vAlign w:val="center"/>
          </w:tcPr>
          <w:p>
            <w:pPr>
              <w:spacing w:after="0"/>
            </w:pPr>
            <w:r/>
            <w:r>
              <w:rPr>
                <w:b w:val="0"/>
              </w:rPr>
              <w:t>Use tuned CUSUM by default, with fixed-threshold CUSUM available for ablations.</w:t>
            </w:r>
          </w:p>
        </w:tc>
        <w:tc>
          <w:tcPr>
            <w:tcW w:type="dxa" w:w="4608"/>
            <w:vAlign w:val="center"/>
          </w:tcPr>
          <w:p>
            <w:pPr>
              <w:spacing w:after="0"/>
            </w:pPr>
            <w:r/>
            <w:r>
              <w:rPr>
                <w:b w:val="0"/>
              </w:rPr>
              <w:t>Sampler state is fitted on train data, then applied consistently to each split.</w:t>
            </w:r>
          </w:p>
        </w:tc>
      </w:tr>
      <w:tr>
        <w:tc>
          <w:tcPr>
            <w:tcW w:type="dxa" w:w="1800"/>
            <w:vAlign w:val="center"/>
          </w:tcPr>
          <w:p>
            <w:pPr>
              <w:spacing w:after="0"/>
            </w:pPr>
            <w:r/>
            <w:r>
              <w:rPr>
                <w:b w:val="0"/>
              </w:rPr>
              <w:t>5. Labeling</w:t>
            </w:r>
          </w:p>
        </w:tc>
        <w:tc>
          <w:tcPr>
            <w:tcW w:type="dxa" w:w="4464"/>
            <w:vAlign w:val="center"/>
          </w:tcPr>
          <w:p>
            <w:pPr>
              <w:spacing w:after="0"/>
            </w:pPr>
            <w:r/>
            <w:r>
              <w:rPr>
                <w:b w:val="0"/>
              </w:rPr>
              <w:t>Apply triple-barrier labels and keep event_outcome semantics.</w:t>
            </w:r>
          </w:p>
        </w:tc>
        <w:tc>
          <w:tcPr>
            <w:tcW w:type="dxa" w:w="4608"/>
            <w:vAlign w:val="center"/>
          </w:tcPr>
          <w:p>
            <w:pPr>
              <w:spacing w:after="0"/>
            </w:pPr>
            <w:r/>
            <w:r>
              <w:rPr>
                <w:b w:val="0"/>
              </w:rPr>
              <w:t>The signal event enters on the next sampled bar; pre-entry high/low cannot trigger barriers.</w:t>
            </w:r>
          </w:p>
        </w:tc>
      </w:tr>
      <w:tr>
        <w:tc>
          <w:tcPr>
            <w:tcW w:type="dxa" w:w="1800"/>
            <w:vAlign w:val="center"/>
          </w:tcPr>
          <w:p>
            <w:pPr>
              <w:spacing w:after="0"/>
            </w:pPr>
            <w:r/>
            <w:r>
              <w:rPr>
                <w:b w:val="0"/>
              </w:rPr>
              <w:t>6. Split safety</w:t>
            </w:r>
          </w:p>
        </w:tc>
        <w:tc>
          <w:tcPr>
            <w:tcW w:type="dxa" w:w="4464"/>
            <w:vAlign w:val="center"/>
          </w:tcPr>
          <w:p>
            <w:pPr>
              <w:spacing w:after="0"/>
            </w:pPr>
            <w:r/>
            <w:r>
              <w:rPr>
                <w:b w:val="0"/>
              </w:rPr>
              <w:t>Build train/validation/test indices from label intervals.</w:t>
            </w:r>
          </w:p>
        </w:tc>
        <w:tc>
          <w:tcPr>
            <w:tcW w:type="dxa" w:w="4608"/>
            <w:vAlign w:val="center"/>
          </w:tcPr>
          <w:p>
            <w:pPr>
              <w:spacing w:after="0"/>
            </w:pPr>
            <w:r/>
            <w:r>
              <w:rPr>
                <w:b w:val="0"/>
              </w:rPr>
              <w:t>Events crossing boundaries are purged and near-boundary events are embargoed.</w:t>
            </w:r>
          </w:p>
        </w:tc>
      </w:tr>
      <w:tr>
        <w:tc>
          <w:tcPr>
            <w:tcW w:type="dxa" w:w="1800"/>
            <w:vAlign w:val="center"/>
          </w:tcPr>
          <w:p>
            <w:pPr>
              <w:spacing w:after="0"/>
            </w:pPr>
            <w:r/>
            <w:r>
              <w:rPr>
                <w:b w:val="0"/>
              </w:rPr>
              <w:t>7. Training</w:t>
            </w:r>
          </w:p>
        </w:tc>
        <w:tc>
          <w:tcPr>
            <w:tcW w:type="dxa" w:w="4464"/>
            <w:vAlign w:val="center"/>
          </w:tcPr>
          <w:p>
            <w:pPr>
              <w:spacing w:after="0"/>
            </w:pPr>
            <w:r/>
            <w:r>
              <w:rPr>
                <w:b w:val="0"/>
              </w:rPr>
              <w:t>Train a PyTorch side classifier, then fit/evaluate a meta-label decision policy.</w:t>
            </w:r>
          </w:p>
        </w:tc>
        <w:tc>
          <w:tcPr>
            <w:tcW w:type="dxa" w:w="4608"/>
            <w:vAlign w:val="center"/>
          </w:tcPr>
          <w:p>
            <w:pPr>
              <w:spacing w:after="0"/>
            </w:pPr>
            <w:r/>
            <w:r>
              <w:rPr>
                <w:b w:val="0"/>
              </w:rPr>
              <w:t>Prepared artifact validation runs before training.</w:t>
            </w:r>
          </w:p>
        </w:tc>
      </w:tr>
      <w:tr>
        <w:tc>
          <w:tcPr>
            <w:tcW w:type="dxa" w:w="1800"/>
            <w:vAlign w:val="center"/>
          </w:tcPr>
          <w:p>
            <w:pPr>
              <w:spacing w:after="0"/>
            </w:pPr>
            <w:r/>
            <w:r>
              <w:rPr>
                <w:b w:val="0"/>
              </w:rPr>
              <w:t>8. Evaluation</w:t>
            </w:r>
          </w:p>
        </w:tc>
        <w:tc>
          <w:tcPr>
            <w:tcW w:type="dxa" w:w="4464"/>
            <w:vAlign w:val="center"/>
          </w:tcPr>
          <w:p>
            <w:pPr>
              <w:spacing w:after="0"/>
            </w:pPr>
            <w:r/>
            <w:r>
              <w:rPr>
                <w:b w:val="0"/>
              </w:rPr>
              <w:t>Log classification, meta, decision, execution, paper, and portfolio metrics.</w:t>
            </w:r>
          </w:p>
        </w:tc>
        <w:tc>
          <w:tcPr>
            <w:tcW w:type="dxa" w:w="4608"/>
            <w:vAlign w:val="center"/>
          </w:tcPr>
          <w:p>
            <w:pPr>
              <w:spacing w:after="0"/>
            </w:pPr>
            <w:r/>
            <w:r>
              <w:rPr>
                <w:b w:val="0"/>
              </w:rPr>
              <w:t>Portfolio simulator uses one account budget and explicit exposure constraints.</w:t>
            </w:r>
          </w:p>
        </w:tc>
      </w:tr>
    </w:tbl>
    <w:p/>
    <w:p>
      <w:pPr>
        <w:pStyle w:val="Heading1"/>
      </w:pPr>
      <w:r>
        <w:rPr>
          <w:rFonts w:ascii="Aptos" w:hAnsi="Aptos" w:eastAsia="Aptos"/>
        </w:rPr>
        <w:t>4. Feature Engineering Before Sampling</w:t>
      </w:r>
    </w:p>
    <w:p>
      <w:r>
        <w:rPr>
          <w:rFonts w:ascii="Aptos" w:hAnsi="Aptos" w:eastAsia="Aptos"/>
        </w:rPr>
        <w:t>The project intentionally computes technical features on the original minute-resolution time series before event sampling. The sampler then chooses event timestamps, and the already-computed feature matrix is sampled at those timestamps. This differs from workflows that aggregate first and compute indicators on irregular event bars.</w:t>
      </w:r>
    </w:p>
    <w:p>
      <w:r>
        <w:rPr>
          <w:rFonts w:ascii="Aptos" w:hAnsi="Aptos" w:eastAsia="Aptos"/>
        </w:rPr>
        <w:t>This choice preserves indicator behavior on a stable minute grid and avoids changing moving-window meaning when event spacing varies. The learned feature pipeline remains train-only: standardization uses train statistics, and the supervised F-score selector is fitted only on train actionable side labels.</w:t>
      </w:r>
    </w:p>
    <w:p>
      <w:pPr>
        <w:pStyle w:val="Heading1"/>
      </w:pPr>
      <w:r>
        <w:rPr>
          <w:rFonts w:ascii="Aptos" w:hAnsi="Aptos" w:eastAsia="Aptos"/>
        </w:rPr>
        <w:t>5. Labels, Timing, and Split Safety</w:t>
      </w:r>
    </w:p>
    <w:p>
      <w:pPr>
        <w:pStyle w:val="ListBullet"/>
      </w:pPr>
      <w:r>
        <w:rPr>
          <w:rFonts w:ascii="Aptos" w:hAnsi="Aptos" w:eastAsia="Aptos"/>
        </w:rPr>
        <w:t>Prepared artifacts store the canonical event_outcome label space: down, exit, up.</w:t>
      </w:r>
    </w:p>
    <w:p>
      <w:pPr>
        <w:pStyle w:val="ListBullet"/>
      </w:pPr>
      <w:r>
        <w:rPr>
          <w:rFonts w:ascii="Aptos" w:hAnsi="Aptos" w:eastAsia="Aptos"/>
        </w:rPr>
        <w:t>The sampled bar timestamp is treated as the model signal time.</w:t>
      </w:r>
    </w:p>
    <w:p>
      <w:pPr>
        <w:pStyle w:val="ListBullet"/>
      </w:pPr>
      <w:r>
        <w:rPr>
          <w:rFonts w:ascii="Aptos" w:hAnsi="Aptos" w:eastAsia="Aptos"/>
        </w:rPr>
        <w:t>Trade execution uses the next sampled bar open, not the historical open of the signal bar.</w:t>
      </w:r>
    </w:p>
    <w:p>
      <w:pPr>
        <w:pStyle w:val="ListBullet"/>
      </w:pPr>
      <w:r>
        <w:rPr>
          <w:rFonts w:ascii="Aptos" w:hAnsi="Aptos" w:eastAsia="Aptos"/>
        </w:rPr>
        <w:t>Barrier evaluation begins after the executable entry point, so pre-entry high/low data cannot affect outcomes.</w:t>
      </w:r>
    </w:p>
    <w:p>
      <w:pPr>
        <w:pStyle w:val="ListBullet"/>
      </w:pPr>
      <w:r>
        <w:rPr>
          <w:rFonts w:ascii="Aptos" w:hAnsi="Aptos" w:eastAsia="Aptos"/>
        </w:rPr>
        <w:t>Train/validation/test membership is based on safe label intervals, with purge and embargo around split boundaries.</w:t>
      </w:r>
    </w:p>
    <w:p>
      <w:pPr>
        <w:pStyle w:val="Heading1"/>
      </w:pPr>
      <w:r>
        <w:rPr>
          <w:rFonts w:ascii="Aptos" w:hAnsi="Aptos" w:eastAsia="Aptos"/>
        </w:rPr>
        <w:t>6. Models and Meta-Label Decision Layer</w:t>
      </w:r>
    </w:p>
    <w:p>
      <w:r>
        <w:rPr>
          <w:rFonts w:ascii="Aptos" w:hAnsi="Aptos" w:eastAsia="Aptos"/>
        </w:rPr>
        <w:t>The primary model is a binary side classifier trained on actionable down/up outcomes. The default fast baseline is Conv1D, and ResNet-LSTM is available as a stronger architecture for controlled experiments. The primary checkpoint metric is validation meta F1, because the final strategy must decide when to trade, not only which side to predict.</w:t>
      </w:r>
    </w:p>
    <w:p>
      <w:r>
        <w:rPr>
          <w:rFonts w:ascii="Aptos" w:hAnsi="Aptos" w:eastAsia="Aptos"/>
        </w:rPr>
        <w:t>The meta-label model decides whether a proposed side prediction should be taken. Its current input space includes model probability, learned embedding features, prepared volatility and recent-return aliases, rolling ticker win-rate and net-return statistics, prediction margin, prediction entropy, and time since the last event. These inputs are meant to help the strategy abstain when confidence, recent ticker behavior, or market context is weak.</w:t>
      </w:r>
    </w:p>
    <w:p>
      <w:pPr>
        <w:pStyle w:val="Heading1"/>
      </w:pPr>
      <w:r>
        <w:rPr>
          <w:rFonts w:ascii="Aptos" w:hAnsi="Aptos" w:eastAsia="Aptos"/>
        </w:rPr>
        <w:t>7. Evaluation and W&amp;B Logging</w:t>
      </w:r>
    </w:p>
    <w:tbl>
      <w:tblPr>
        <w:tblStyle w:val="TableGrid"/>
        <w:tblW w:type="auto" w:w="0"/>
        <w:jc w:val="center"/>
        <w:tblLook w:firstColumn="1" w:firstRow="1" w:lastColumn="0" w:lastRow="0" w:noHBand="0" w:noVBand="1" w:val="04A0"/>
      </w:tblPr>
      <w:tblGrid>
        <w:gridCol w:w="3360"/>
        <w:gridCol w:w="3360"/>
        <w:gridCol w:w="3360"/>
      </w:tblGrid>
      <w:tr>
        <w:tc>
          <w:tcPr>
            <w:tcW w:type="dxa" w:w="1944"/>
            <w:vAlign w:val="center"/>
            <w:shd w:fill="1F4E79"/>
          </w:tcPr>
          <w:p>
            <w:pPr>
              <w:spacing w:after="0"/>
            </w:pPr>
            <w:r/>
            <w:r>
              <w:rPr>
                <w:b/>
                <w:color w:val="FFFFFF"/>
              </w:rPr>
              <w:t>Namespace</w:t>
            </w:r>
          </w:p>
        </w:tc>
        <w:tc>
          <w:tcPr>
            <w:tcW w:type="dxa" w:w="6120"/>
            <w:vAlign w:val="center"/>
            <w:shd w:fill="1F4E79"/>
          </w:tcPr>
          <w:p>
            <w:pPr>
              <w:spacing w:after="0"/>
            </w:pPr>
            <w:r/>
            <w:r>
              <w:rPr>
                <w:b/>
                <w:color w:val="FFFFFF"/>
              </w:rPr>
              <w:t>Meaning</w:t>
            </w:r>
          </w:p>
        </w:tc>
        <w:tc>
          <w:tcPr>
            <w:tcW w:type="dxa" w:w="2592"/>
            <w:vAlign w:val="center"/>
            <w:shd w:fill="1F4E79"/>
          </w:tcPr>
          <w:p>
            <w:pPr>
              <w:spacing w:after="0"/>
            </w:pPr>
            <w:r/>
            <w:r>
              <w:rPr>
                <w:b/>
                <w:color w:val="FFFFFF"/>
              </w:rPr>
              <w:t>Use in conclusions</w:t>
            </w:r>
          </w:p>
        </w:tc>
      </w:tr>
      <w:tr>
        <w:tc>
          <w:tcPr>
            <w:tcW w:type="dxa" w:w="1944"/>
            <w:vAlign w:val="center"/>
          </w:tcPr>
          <w:p>
            <w:pPr>
              <w:spacing w:after="0"/>
            </w:pPr>
            <w:r/>
            <w:r>
              <w:rPr>
                <w:b w:val="0"/>
              </w:rPr>
              <w:t>cls/*</w:t>
            </w:r>
          </w:p>
        </w:tc>
        <w:tc>
          <w:tcPr>
            <w:tcW w:type="dxa" w:w="6120"/>
            <w:vAlign w:val="center"/>
          </w:tcPr>
          <w:p>
            <w:pPr>
              <w:spacing w:after="0"/>
            </w:pPr>
            <w:r/>
            <w:r>
              <w:rPr>
                <w:b w:val="0"/>
              </w:rPr>
              <w:t>Primary side-model accuracy, F1, class balance, and confusion behavior before meta filtering.</w:t>
            </w:r>
          </w:p>
        </w:tc>
        <w:tc>
          <w:tcPr>
            <w:tcW w:type="dxa" w:w="2592"/>
            <w:vAlign w:val="center"/>
          </w:tcPr>
          <w:p>
            <w:pPr>
              <w:spacing w:after="0"/>
            </w:pPr>
            <w:r/>
            <w:r>
              <w:rPr>
                <w:b w:val="0"/>
              </w:rPr>
              <w:t>Diagnose learning quality.</w:t>
            </w:r>
          </w:p>
        </w:tc>
      </w:tr>
      <w:tr>
        <w:tc>
          <w:tcPr>
            <w:tcW w:type="dxa" w:w="1944"/>
            <w:vAlign w:val="center"/>
          </w:tcPr>
          <w:p>
            <w:pPr>
              <w:spacing w:after="0"/>
            </w:pPr>
            <w:r/>
            <w:r>
              <w:rPr>
                <w:b w:val="0"/>
              </w:rPr>
              <w:t>meta/*</w:t>
            </w:r>
          </w:p>
        </w:tc>
        <w:tc>
          <w:tcPr>
            <w:tcW w:type="dxa" w:w="6120"/>
            <w:vAlign w:val="center"/>
          </w:tcPr>
          <w:p>
            <w:pPr>
              <w:spacing w:after="0"/>
            </w:pPr>
            <w:r/>
            <w:r>
              <w:rPr>
                <w:b w:val="0"/>
              </w:rPr>
              <w:t>TAKE/PASS model quality, accept threshold, take probability, and take rate.</w:t>
            </w:r>
          </w:p>
        </w:tc>
        <w:tc>
          <w:tcPr>
            <w:tcW w:type="dxa" w:w="2592"/>
            <w:vAlign w:val="center"/>
          </w:tcPr>
          <w:p>
            <w:pPr>
              <w:spacing w:after="0"/>
            </w:pPr>
            <w:r/>
            <w:r>
              <w:rPr>
                <w:b w:val="0"/>
              </w:rPr>
              <w:t>Diagnose trade filtering.</w:t>
            </w:r>
          </w:p>
        </w:tc>
      </w:tr>
      <w:tr>
        <w:tc>
          <w:tcPr>
            <w:tcW w:type="dxa" w:w="1944"/>
            <w:vAlign w:val="center"/>
          </w:tcPr>
          <w:p>
            <w:pPr>
              <w:spacing w:after="0"/>
            </w:pPr>
            <w:r/>
            <w:r>
              <w:rPr>
                <w:b w:val="0"/>
              </w:rPr>
              <w:t>decision/*</w:t>
            </w:r>
          </w:p>
        </w:tc>
        <w:tc>
          <w:tcPr>
            <w:tcW w:type="dxa" w:w="6120"/>
            <w:vAlign w:val="center"/>
          </w:tcPr>
          <w:p>
            <w:pPr>
              <w:spacing w:after="0"/>
            </w:pPr>
            <w:r/>
            <w:r>
              <w:rPr>
                <w:b w:val="0"/>
              </w:rPr>
              <w:t>Final acted/abstained behavior and errors on actionable or exit truths.</w:t>
            </w:r>
          </w:p>
        </w:tc>
        <w:tc>
          <w:tcPr>
            <w:tcW w:type="dxa" w:w="2592"/>
            <w:vAlign w:val="center"/>
          </w:tcPr>
          <w:p>
            <w:pPr>
              <w:spacing w:after="0"/>
            </w:pPr>
            <w:r/>
            <w:r>
              <w:rPr>
                <w:b w:val="0"/>
              </w:rPr>
              <w:t>Diagnose final trade decisions.</w:t>
            </w:r>
          </w:p>
        </w:tc>
      </w:tr>
      <w:tr>
        <w:tc>
          <w:tcPr>
            <w:tcW w:type="dxa" w:w="1944"/>
            <w:vAlign w:val="center"/>
          </w:tcPr>
          <w:p>
            <w:pPr>
              <w:spacing w:after="0"/>
            </w:pPr>
            <w:r/>
            <w:r>
              <w:rPr>
                <w:b w:val="0"/>
              </w:rPr>
              <w:t>execution/*</w:t>
            </w:r>
          </w:p>
        </w:tc>
        <w:tc>
          <w:tcPr>
            <w:tcW w:type="dxa" w:w="6120"/>
            <w:vAlign w:val="center"/>
          </w:tcPr>
          <w:p>
            <w:pPr>
              <w:spacing w:after="0"/>
            </w:pPr>
            <w:r/>
            <w:r>
              <w:rPr>
                <w:b w:val="0"/>
              </w:rPr>
              <w:t>Raw signals, overlap suppression, executed trades, hit rate, and active time.</w:t>
            </w:r>
          </w:p>
        </w:tc>
        <w:tc>
          <w:tcPr>
            <w:tcW w:type="dxa" w:w="2592"/>
            <w:vAlign w:val="center"/>
          </w:tcPr>
          <w:p>
            <w:pPr>
              <w:spacing w:after="0"/>
            </w:pPr>
            <w:r/>
            <w:r>
              <w:rPr>
                <w:b w:val="0"/>
              </w:rPr>
              <w:t>Diagnose whether trades are realistically executable.</w:t>
            </w:r>
          </w:p>
        </w:tc>
      </w:tr>
      <w:tr>
        <w:tc>
          <w:tcPr>
            <w:tcW w:type="dxa" w:w="1944"/>
            <w:vAlign w:val="center"/>
          </w:tcPr>
          <w:p>
            <w:pPr>
              <w:spacing w:after="0"/>
            </w:pPr>
            <w:r/>
            <w:r>
              <w:rPr>
                <w:b w:val="0"/>
              </w:rPr>
              <w:t>paper/*</w:t>
            </w:r>
          </w:p>
        </w:tc>
        <w:tc>
          <w:tcPr>
            <w:tcW w:type="dxa" w:w="6120"/>
            <w:vAlign w:val="center"/>
          </w:tcPr>
          <w:p>
            <w:pPr>
              <w:spacing w:after="0"/>
            </w:pPr>
            <w:r/>
            <w:r>
              <w:rPr>
                <w:b w:val="0"/>
              </w:rPr>
              <w:t>Reference-style trade economics using non-overlapping trade diagnostics.</w:t>
            </w:r>
          </w:p>
        </w:tc>
        <w:tc>
          <w:tcPr>
            <w:tcW w:type="dxa" w:w="2592"/>
            <w:vAlign w:val="center"/>
          </w:tcPr>
          <w:p>
            <w:pPr>
              <w:spacing w:after="0"/>
            </w:pPr>
            <w:r/>
            <w:r>
              <w:rPr>
                <w:b w:val="0"/>
              </w:rPr>
              <w:t>Use as diagnostic comparison, not final account value.</w:t>
            </w:r>
          </w:p>
        </w:tc>
      </w:tr>
      <w:tr>
        <w:tc>
          <w:tcPr>
            <w:tcW w:type="dxa" w:w="1944"/>
            <w:vAlign w:val="center"/>
          </w:tcPr>
          <w:p>
            <w:pPr>
              <w:spacing w:after="0"/>
            </w:pPr>
            <w:r/>
            <w:r>
              <w:rPr>
                <w:b w:val="0"/>
              </w:rPr>
              <w:t>portfolio/*</w:t>
            </w:r>
          </w:p>
        </w:tc>
        <w:tc>
          <w:tcPr>
            <w:tcW w:type="dxa" w:w="6120"/>
            <w:vAlign w:val="center"/>
          </w:tcPr>
          <w:p>
            <w:pPr>
              <w:spacing w:after="0"/>
            </w:pPr>
            <w:r/>
            <w:r>
              <w:rPr>
                <w:b w:val="0"/>
              </w:rPr>
              <w:t>One-account simulation with cash, exposure, costs, drawdown, Sharpe, and skipped-budget trades.</w:t>
            </w:r>
          </w:p>
        </w:tc>
        <w:tc>
          <w:tcPr>
            <w:tcW w:type="dxa" w:w="2592"/>
            <w:vAlign w:val="center"/>
          </w:tcPr>
          <w:p>
            <w:pPr>
              <w:spacing w:after="0"/>
            </w:pPr>
            <w:r/>
            <w:r>
              <w:rPr>
                <w:b w:val="0"/>
              </w:rPr>
              <w:t>Use for final economic claims.</w:t>
            </w:r>
          </w:p>
        </w:tc>
      </w:tr>
    </w:tbl>
    <w:p/>
    <w:p>
      <w:r>
        <w:rPr>
          <w:rFonts w:ascii="Aptos" w:hAnsi="Aptos" w:eastAsia="Aptos"/>
        </w:rPr>
        <w:t>Portfolio equity curves are logged to W&amp;B as perf/portfolio_equity_curve/{split}, with a companion chart at charts/portfolio_equity/{split}. The table contains step, timestamp, equity, cash, exposure percentage, and open-position count.</w:t>
      </w:r>
    </w:p>
    <w:p>
      <w:pPr>
        <w:pStyle w:val="Heading1"/>
      </w:pPr>
      <w:r>
        <w:rPr>
          <w:rFonts w:ascii="Aptos" w:hAnsi="Aptos" w:eastAsia="Aptos"/>
        </w:rPr>
        <w:t>8. Portfolio Simulator Assumptions</w:t>
      </w:r>
    </w:p>
    <w:tbl>
      <w:tblPr>
        <w:tblStyle w:val="TableGrid"/>
        <w:tblW w:type="auto" w:w="0"/>
        <w:jc w:val="center"/>
        <w:tblLook w:firstColumn="1" w:firstRow="1" w:lastColumn="0" w:lastRow="0" w:noHBand="0" w:noVBand="1" w:val="04A0"/>
      </w:tblPr>
      <w:tblGrid>
        <w:gridCol w:w="5040"/>
        <w:gridCol w:w="5040"/>
      </w:tblGrid>
      <w:tr>
        <w:tc>
          <w:tcPr>
            <w:tcW w:type="dxa" w:w="3168"/>
            <w:vAlign w:val="center"/>
            <w:shd w:fill="1F4E79"/>
          </w:tcPr>
          <w:p>
            <w:pPr>
              <w:spacing w:after="0"/>
            </w:pPr>
            <w:r/>
            <w:r>
              <w:rPr>
                <w:b/>
                <w:color w:val="FFFFFF"/>
              </w:rPr>
              <w:t>Assumption</w:t>
            </w:r>
          </w:p>
        </w:tc>
        <w:tc>
          <w:tcPr>
            <w:tcW w:type="dxa" w:w="7200"/>
            <w:vAlign w:val="center"/>
            <w:shd w:fill="1F4E79"/>
          </w:tcPr>
          <w:p>
            <w:pPr>
              <w:spacing w:after="0"/>
            </w:pPr>
            <w:r/>
            <w:r>
              <w:rPr>
                <w:b/>
                <w:color w:val="FFFFFF"/>
              </w:rPr>
              <w:t>Current default</w:t>
            </w:r>
          </w:p>
        </w:tc>
      </w:tr>
      <w:tr>
        <w:tc>
          <w:tcPr>
            <w:tcW w:type="dxa" w:w="3168"/>
            <w:vAlign w:val="center"/>
          </w:tcPr>
          <w:p>
            <w:pPr>
              <w:spacing w:after="0"/>
            </w:pPr>
            <w:r/>
            <w:r>
              <w:rPr>
                <w:b w:val="0"/>
              </w:rPr>
              <w:t>Initial cash</w:t>
            </w:r>
          </w:p>
        </w:tc>
        <w:tc>
          <w:tcPr>
            <w:tcW w:type="dxa" w:w="7200"/>
            <w:vAlign w:val="center"/>
          </w:tcPr>
          <w:p>
            <w:pPr>
              <w:spacing w:after="0"/>
            </w:pPr>
            <w:r/>
            <w:r>
              <w:rPr>
                <w:b w:val="0"/>
              </w:rPr>
              <w:t>$10,000</w:t>
            </w:r>
          </w:p>
        </w:tc>
      </w:tr>
      <w:tr>
        <w:tc>
          <w:tcPr>
            <w:tcW w:type="dxa" w:w="3168"/>
            <w:vAlign w:val="center"/>
          </w:tcPr>
          <w:p>
            <w:pPr>
              <w:spacing w:after="0"/>
            </w:pPr>
            <w:r/>
            <w:r>
              <w:rPr>
                <w:b w:val="0"/>
              </w:rPr>
              <w:t>Maximum position size</w:t>
            </w:r>
          </w:p>
        </w:tc>
        <w:tc>
          <w:tcPr>
            <w:tcW w:type="dxa" w:w="7200"/>
            <w:vAlign w:val="center"/>
          </w:tcPr>
          <w:p>
            <w:pPr>
              <w:spacing w:after="0"/>
            </w:pPr>
            <w:r/>
            <w:r>
              <w:rPr>
                <w:b w:val="0"/>
              </w:rPr>
              <w:t>5% of current equity per trade, scaled by meta bet size.</w:t>
            </w:r>
          </w:p>
        </w:tc>
      </w:tr>
      <w:tr>
        <w:tc>
          <w:tcPr>
            <w:tcW w:type="dxa" w:w="3168"/>
            <w:vAlign w:val="center"/>
          </w:tcPr>
          <w:p>
            <w:pPr>
              <w:spacing w:after="0"/>
            </w:pPr>
            <w:r/>
            <w:r>
              <w:rPr>
                <w:b w:val="0"/>
              </w:rPr>
              <w:t>Maximum total exposure</w:t>
            </w:r>
          </w:p>
        </w:tc>
        <w:tc>
          <w:tcPr>
            <w:tcW w:type="dxa" w:w="7200"/>
            <w:vAlign w:val="center"/>
          </w:tcPr>
          <w:p>
            <w:pPr>
              <w:spacing w:after="0"/>
            </w:pPr>
            <w:r/>
            <w:r>
              <w:rPr>
                <w:b w:val="0"/>
              </w:rPr>
              <w:t>100% gross exposure.</w:t>
            </w:r>
          </w:p>
        </w:tc>
      </w:tr>
      <w:tr>
        <w:tc>
          <w:tcPr>
            <w:tcW w:type="dxa" w:w="3168"/>
            <w:vAlign w:val="center"/>
          </w:tcPr>
          <w:p>
            <w:pPr>
              <w:spacing w:after="0"/>
            </w:pPr>
            <w:r/>
            <w:r>
              <w:rPr>
                <w:b w:val="0"/>
              </w:rPr>
              <w:t>Maximum concurrent positions</w:t>
            </w:r>
          </w:p>
        </w:tc>
        <w:tc>
          <w:tcPr>
            <w:tcW w:type="dxa" w:w="7200"/>
            <w:vAlign w:val="center"/>
          </w:tcPr>
          <w:p>
            <w:pPr>
              <w:spacing w:after="0"/>
            </w:pPr>
            <w:r/>
            <w:r>
              <w:rPr>
                <w:b w:val="0"/>
              </w:rPr>
              <w:t>10 open positions.</w:t>
            </w:r>
          </w:p>
        </w:tc>
      </w:tr>
      <w:tr>
        <w:tc>
          <w:tcPr>
            <w:tcW w:type="dxa" w:w="3168"/>
            <w:vAlign w:val="center"/>
          </w:tcPr>
          <w:p>
            <w:pPr>
              <w:spacing w:after="0"/>
            </w:pPr>
            <w:r/>
            <w:r>
              <w:rPr>
                <w:b w:val="0"/>
              </w:rPr>
              <w:t>Costs</w:t>
            </w:r>
          </w:p>
        </w:tc>
        <w:tc>
          <w:tcPr>
            <w:tcW w:type="dxa" w:w="7200"/>
            <w:vAlign w:val="center"/>
          </w:tcPr>
          <w:p>
            <w:pPr>
              <w:spacing w:after="0"/>
            </w:pPr>
            <w:r/>
            <w:r>
              <w:rPr>
                <w:b w:val="0"/>
              </w:rPr>
              <w:t>Entry and exit transaction costs are charged.</w:t>
            </w:r>
          </w:p>
        </w:tc>
      </w:tr>
      <w:tr>
        <w:tc>
          <w:tcPr>
            <w:tcW w:type="dxa" w:w="3168"/>
            <w:vAlign w:val="center"/>
          </w:tcPr>
          <w:p>
            <w:pPr>
              <w:spacing w:after="0"/>
            </w:pPr>
            <w:r/>
            <w:r>
              <w:rPr>
                <w:b w:val="0"/>
              </w:rPr>
              <w:t>Overlaps</w:t>
            </w:r>
          </w:p>
        </w:tc>
        <w:tc>
          <w:tcPr>
            <w:tcW w:type="dxa" w:w="7200"/>
            <w:vAlign w:val="center"/>
          </w:tcPr>
          <w:p>
            <w:pPr>
              <w:spacing w:after="0"/>
            </w:pPr>
            <w:r/>
            <w:r>
              <w:rPr>
                <w:b w:val="0"/>
              </w:rPr>
              <w:t>Same-ticker overlaps are suppressed before portfolio budget checks.</w:t>
            </w:r>
          </w:p>
        </w:tc>
      </w:tr>
      <w:tr>
        <w:tc>
          <w:tcPr>
            <w:tcW w:type="dxa" w:w="3168"/>
            <w:vAlign w:val="center"/>
          </w:tcPr>
          <w:p>
            <w:pPr>
              <w:spacing w:after="0"/>
            </w:pPr>
            <w:r/>
            <w:r>
              <w:rPr>
                <w:b w:val="0"/>
              </w:rPr>
              <w:t>Skipped trades</w:t>
            </w:r>
          </w:p>
        </w:tc>
        <w:tc>
          <w:tcPr>
            <w:tcW w:type="dxa" w:w="7200"/>
            <w:vAlign w:val="center"/>
          </w:tcPr>
          <w:p>
            <w:pPr>
              <w:spacing w:after="0"/>
            </w:pPr>
            <w:r/>
            <w:r>
              <w:rPr>
                <w:b w:val="0"/>
              </w:rPr>
              <w:t>Trades can be skipped when cash, exposure, or max-position limits are exhausted.</w:t>
            </w:r>
          </w:p>
        </w:tc>
      </w:tr>
    </w:tbl>
    <w:p/>
    <w:p>
      <w:pPr>
        <w:pStyle w:val="Heading1"/>
      </w:pPr>
      <w:r>
        <w:rPr>
          <w:rFonts w:ascii="Aptos" w:hAnsi="Aptos" w:eastAsia="Aptos"/>
        </w:rPr>
        <w:t>9. Reproducibility and Project Structure</w:t>
      </w:r>
    </w:p>
    <w:p>
      <w:r>
        <w:rPr>
          <w:rFonts w:ascii="Aptos" w:hAnsi="Aptos" w:eastAsia="Aptos"/>
        </w:rPr>
        <w:t>The repository is organized as a single project root. Source code, tests, documentation, reports, configuration, dependency metadata, and uv.lock are tracked. Generated runtime outputs are ignored and can be regenerated from commands and source code.</w:t>
      </w:r>
    </w:p>
    <w:p>
      <w:pPr>
        <w:pStyle w:val="ListBullet"/>
      </w:pPr>
      <w:r>
        <w:rPr>
          <w:rFonts w:ascii="Aptos" w:hAnsi="Aptos" w:eastAsia="Aptos"/>
        </w:rPr>
        <w:t>Use uv for Python execution and dependency management.</w:t>
      </w:r>
    </w:p>
    <w:p>
      <w:pPr>
        <w:pStyle w:val="ListBullet"/>
      </w:pPr>
      <w:r>
        <w:rPr>
          <w:rFonts w:ascii="Aptos" w:hAnsi="Aptos" w:eastAsia="Aptos"/>
        </w:rPr>
        <w:t>Use pytest for tests and ruff for linting/formatting.</w:t>
      </w:r>
    </w:p>
    <w:p>
      <w:pPr>
        <w:pStyle w:val="ListBullet"/>
      </w:pPr>
      <w:r>
        <w:rPr>
          <w:rFonts w:ascii="Aptos" w:hAnsi="Aptos" w:eastAsia="Aptos"/>
        </w:rPr>
        <w:t>Use prepared manifests to make training runs reproducible.</w:t>
      </w:r>
    </w:p>
    <w:p>
      <w:pPr>
        <w:pStyle w:val="ListBullet"/>
      </w:pPr>
      <w:r>
        <w:rPr>
          <w:rFonts w:ascii="Aptos" w:hAnsi="Aptos" w:eastAsia="Aptos"/>
        </w:rPr>
        <w:t>Update the implementation matrix, team change log, and AI dialog log when methodology changes.</w:t>
      </w:r>
    </w:p>
    <w:p>
      <w:pPr>
        <w:pStyle w:val="Heading1"/>
      </w:pPr>
      <w:r>
        <w:rPr>
          <w:rFonts w:ascii="Aptos" w:hAnsi="Aptos" w:eastAsia="Aptos"/>
        </w:rPr>
        <w:t>10. Quality Gates</w:t>
      </w:r>
    </w:p>
    <w:tbl>
      <w:tblPr>
        <w:tblStyle w:val="TableGrid"/>
        <w:tblW w:type="auto" w:w="0"/>
        <w:jc w:val="center"/>
        <w:tblLook w:firstColumn="1" w:firstRow="1" w:lastColumn="0" w:lastRow="0" w:noHBand="0" w:noVBand="1" w:val="04A0"/>
      </w:tblPr>
      <w:tblGrid>
        <w:gridCol w:w="5040"/>
        <w:gridCol w:w="5040"/>
      </w:tblGrid>
      <w:tr>
        <w:tc>
          <w:tcPr>
            <w:tcW w:type="dxa" w:w="3744"/>
            <w:vAlign w:val="center"/>
            <w:shd w:fill="1F4E79"/>
          </w:tcPr>
          <w:p>
            <w:pPr>
              <w:spacing w:after="0"/>
            </w:pPr>
            <w:r/>
            <w:r>
              <w:rPr>
                <w:b/>
                <w:color w:val="FFFFFF"/>
              </w:rPr>
              <w:t>Gate</w:t>
            </w:r>
          </w:p>
        </w:tc>
        <w:tc>
          <w:tcPr>
            <w:tcW w:type="dxa" w:w="6768"/>
            <w:vAlign w:val="center"/>
            <w:shd w:fill="1F4E79"/>
          </w:tcPr>
          <w:p>
            <w:pPr>
              <w:spacing w:after="0"/>
            </w:pPr>
            <w:r/>
            <w:r>
              <w:rPr>
                <w:b/>
                <w:color w:val="FFFFFF"/>
              </w:rPr>
              <w:t>Purpose</w:t>
            </w:r>
          </w:p>
        </w:tc>
      </w:tr>
      <w:tr>
        <w:tc>
          <w:tcPr>
            <w:tcW w:type="dxa" w:w="3744"/>
            <w:vAlign w:val="center"/>
          </w:tcPr>
          <w:p>
            <w:pPr>
              <w:spacing w:after="0"/>
            </w:pPr>
            <w:r/>
            <w:r>
              <w:rPr>
                <w:b w:val="0"/>
              </w:rPr>
              <w:t>uv run ruff check .</w:t>
            </w:r>
          </w:p>
        </w:tc>
        <w:tc>
          <w:tcPr>
            <w:tcW w:type="dxa" w:w="6768"/>
            <w:vAlign w:val="center"/>
          </w:tcPr>
          <w:p>
            <w:pPr>
              <w:spacing w:after="0"/>
            </w:pPr>
            <w:r/>
            <w:r>
              <w:rPr>
                <w:b w:val="0"/>
              </w:rPr>
              <w:t>Checks lint and code-quality rules.</w:t>
            </w:r>
          </w:p>
        </w:tc>
      </w:tr>
      <w:tr>
        <w:tc>
          <w:tcPr>
            <w:tcW w:type="dxa" w:w="3744"/>
            <w:vAlign w:val="center"/>
          </w:tcPr>
          <w:p>
            <w:pPr>
              <w:spacing w:after="0"/>
            </w:pPr>
            <w:r/>
            <w:r>
              <w:rPr>
                <w:b w:val="0"/>
              </w:rPr>
              <w:t>uv run pytest</w:t>
            </w:r>
          </w:p>
        </w:tc>
        <w:tc>
          <w:tcPr>
            <w:tcW w:type="dxa" w:w="6768"/>
            <w:vAlign w:val="center"/>
          </w:tcPr>
          <w:p>
            <w:pPr>
              <w:spacing w:after="0"/>
            </w:pPr>
            <w:r/>
            <w:r>
              <w:rPr>
                <w:b w:val="0"/>
              </w:rPr>
              <w:t>Runs unit and pipeline-contract tests.</w:t>
            </w:r>
          </w:p>
        </w:tc>
      </w:tr>
      <w:tr>
        <w:tc>
          <w:tcPr>
            <w:tcW w:type="dxa" w:w="3744"/>
            <w:vAlign w:val="center"/>
          </w:tcPr>
          <w:p>
            <w:pPr>
              <w:spacing w:after="0"/>
            </w:pPr>
            <w:r/>
            <w:r>
              <w:rPr>
                <w:b w:val="0"/>
              </w:rPr>
              <w:t>smoke_prepared_experiment</w:t>
            </w:r>
          </w:p>
        </w:tc>
        <w:tc>
          <w:tcPr>
            <w:tcW w:type="dxa" w:w="6768"/>
            <w:vAlign w:val="center"/>
          </w:tcPr>
          <w:p>
            <w:pPr>
              <w:spacing w:after="0"/>
            </w:pPr>
            <w:r/>
            <w:r>
              <w:rPr>
                <w:b w:val="0"/>
              </w:rPr>
              <w:t>Validates generated prepared artifacts before a longer training run.</w:t>
            </w:r>
          </w:p>
        </w:tc>
      </w:tr>
      <w:tr>
        <w:tc>
          <w:tcPr>
            <w:tcW w:type="dxa" w:w="3744"/>
            <w:vAlign w:val="center"/>
          </w:tcPr>
          <w:p>
            <w:pPr>
              <w:spacing w:after="0"/>
            </w:pPr>
            <w:r/>
            <w:r>
              <w:rPr>
                <w:b w:val="0"/>
              </w:rPr>
              <w:t>Metric registry and W&amp;B setup tables</w:t>
            </w:r>
          </w:p>
        </w:tc>
        <w:tc>
          <w:tcPr>
            <w:tcW w:type="dxa" w:w="6768"/>
            <w:vAlign w:val="center"/>
          </w:tcPr>
          <w:p>
            <w:pPr>
              <w:spacing w:after="0"/>
            </w:pPr>
            <w:r/>
            <w:r>
              <w:rPr>
                <w:b w:val="0"/>
              </w:rPr>
              <w:t>Make metric meanings visible in each run.</w:t>
            </w:r>
          </w:p>
        </w:tc>
      </w:tr>
      <w:tr>
        <w:tc>
          <w:tcPr>
            <w:tcW w:type="dxa" w:w="3744"/>
            <w:vAlign w:val="center"/>
          </w:tcPr>
          <w:p>
            <w:pPr>
              <w:spacing w:after="0"/>
            </w:pPr>
            <w:r/>
            <w:r>
              <w:rPr>
                <w:b w:val="0"/>
              </w:rPr>
              <w:t>Team logs</w:t>
            </w:r>
          </w:p>
        </w:tc>
        <w:tc>
          <w:tcPr>
            <w:tcW w:type="dxa" w:w="6768"/>
            <w:vAlign w:val="center"/>
          </w:tcPr>
          <w:p>
            <w:pPr>
              <w:spacing w:after="0"/>
            </w:pPr>
            <w:r/>
            <w:r>
              <w:rPr>
                <w:b w:val="0"/>
              </w:rPr>
              <w:t>Keep methodology decisions traceable across team members.</w:t>
            </w:r>
          </w:p>
        </w:tc>
      </w:tr>
    </w:tbl>
    <w:p/>
    <w:p>
      <w:pPr>
        <w:pStyle w:val="Heading1"/>
      </w:pPr>
      <w:r>
        <w:rPr>
          <w:rFonts w:ascii="Aptos" w:hAnsi="Aptos" w:eastAsia="Aptos"/>
        </w:rPr>
        <w:t>11. Current Limitations and Next Work</w:t>
      </w:r>
    </w:p>
    <w:p>
      <w:pPr>
        <w:pStyle w:val="ListBullet"/>
      </w:pPr>
      <w:r>
        <w:rPr>
          <w:rFonts w:ascii="Aptos" w:hAnsi="Aptos" w:eastAsia="Aptos"/>
        </w:rPr>
        <w:t>Old prepared folds should be regenerated before final conclusions because timing and purge/embargo logic changed.</w:t>
      </w:r>
    </w:p>
    <w:p>
      <w:pPr>
        <w:pStyle w:val="ListBullet"/>
      </w:pPr>
      <w:r>
        <w:rPr>
          <w:rFonts w:ascii="Aptos" w:hAnsi="Aptos" w:eastAsia="Aptos"/>
        </w:rPr>
        <w:t>The portfolio simulator is more realistic than paper metrics, but it still does not model slippage or dynamic spreads.</w:t>
      </w:r>
    </w:p>
    <w:p>
      <w:pPr>
        <w:pStyle w:val="ListBullet"/>
      </w:pPr>
      <w:r>
        <w:rPr>
          <w:rFonts w:ascii="Aptos" w:hAnsi="Aptos" w:eastAsia="Aptos"/>
        </w:rPr>
        <w:t>Barrier width/height should be swept for US equities instead of assuming the current defaults are optimal.</w:t>
      </w:r>
    </w:p>
    <w:p>
      <w:pPr>
        <w:pStyle w:val="ListBullet"/>
      </w:pPr>
      <w:r>
        <w:rPr>
          <w:rFonts w:ascii="Aptos" w:hAnsi="Aptos" w:eastAsia="Aptos"/>
        </w:rPr>
        <w:t>Fixed-threshold CUSUM should be compared against tuned bars/day CUSUM on corrected folds.</w:t>
      </w:r>
    </w:p>
    <w:p>
      <w:pPr>
        <w:pStyle w:val="ListBullet"/>
      </w:pPr>
      <w:r>
        <w:rPr>
          <w:rFonts w:ascii="Aptos" w:hAnsi="Aptos" w:eastAsia="Aptos"/>
        </w:rPr>
        <w:t>ResNet-LSTM, multi-seed evaluation, and probability-band baselines remain important comparison experiments.</w:t>
      </w:r>
    </w:p>
    <w:p>
      <w:pPr>
        <w:pStyle w:val="Heading1"/>
      </w:pPr>
      <w:r>
        <w:rPr>
          <w:rFonts w:ascii="Aptos" w:hAnsi="Aptos" w:eastAsia="Aptos"/>
        </w:rPr>
        <w:t>12. Useful Commands</w:t>
      </w:r>
    </w:p>
    <w:p>
      <w:pPr>
        <w:ind w:left="360"/>
      </w:pPr>
      <w:r>
        <w:rPr>
          <w:rFonts w:ascii="Cascadia Mono" w:hAnsi="Cascadia Mono" w:eastAsia="Cascadia Mono"/>
          <w:sz w:val="18"/>
        </w:rPr>
        <w:t>uv run ruff check .</w:t>
      </w:r>
    </w:p>
    <w:p>
      <w:pPr>
        <w:ind w:left="360"/>
      </w:pPr>
      <w:r>
        <w:rPr>
          <w:rFonts w:ascii="Cascadia Mono" w:hAnsi="Cascadia Mono" w:eastAsia="Cascadia Mono"/>
          <w:sz w:val="18"/>
        </w:rPr>
        <w:t>uv run pytest</w:t>
      </w:r>
    </w:p>
    <w:p>
      <w:pPr>
        <w:ind w:left="360"/>
      </w:pPr>
      <w:r>
        <w:rPr>
          <w:rFonts w:ascii="Cascadia Mono" w:hAnsi="Cascadia Mono" w:eastAsia="Cascadia Mono"/>
          <w:sz w:val="18"/>
        </w:rPr>
        <w:t>uv run python -m kvant.ml_prepare_data.prepare_experiment</w:t>
      </w:r>
    </w:p>
    <w:p>
      <w:pPr>
        <w:ind w:left="360"/>
      </w:pPr>
      <w:r>
        <w:rPr>
          <w:rFonts w:ascii="Cascadia Mono" w:hAnsi="Cascadia Mono" w:eastAsia="Cascadia Mono"/>
          <w:sz w:val="18"/>
        </w:rPr>
        <w:t>uv run python -m kvant.ml_prepare_data.prepare_experiment --sampler fixed_cusum --cusum-h 0.01</w:t>
      </w:r>
    </w:p>
    <w:p>
      <w:pPr>
        <w:ind w:left="360"/>
      </w:pPr>
      <w:r>
        <w:rPr>
          <w:rFonts w:ascii="Cascadia Mono" w:hAnsi="Cascadia Mono" w:eastAsia="Cascadia Mono"/>
          <w:sz w:val="18"/>
        </w:rPr>
        <w:t>uv run python -m kvant.ml_framework.scripts.smoke_prepared_experiment --cv-manifest src/kvant/ml_framework/prepared/sb_L_12_w180_h1.5_TBPD30_cv_manifest.json</w:t>
      </w:r>
    </w:p>
    <w:p>
      <w:pPr>
        <w:ind w:left="360"/>
      </w:pPr>
      <w:r>
        <w:rPr>
          <w:rFonts w:ascii="Cascadia Mono" w:hAnsi="Cascadia Mono" w:eastAsia="Cascadia Mono"/>
          <w:sz w:val="18"/>
        </w:rPr>
        <w:t>uv run python -m kvant.ml_framework.scripts.train_experiment --baseline --epochs 3</w:t>
      </w:r>
    </w:p>
    <w:p>
      <w:pPr>
        <w:ind w:left="360"/>
      </w:pPr>
      <w:r>
        <w:rPr>
          <w:rFonts w:ascii="Cascadia Mono" w:hAnsi="Cascadia Mono" w:eastAsia="Cascadia Mono"/>
          <w:sz w:val="18"/>
        </w:rPr>
        <w:t>uv run python -m kvant.ml_framework.scripts.train_experiment --portfolio-initial-cash 10000 --portfolio-max-position-fraction 0.05 --portfolio-max-total-exposure 1.0 --portfolio-max-positions 10</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Research codebase - not a live trading system or investment recommendation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Kvant project description | updated 2026-04-27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