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8"/>
        </w:rPr>
        <w:t>Kvant</w:t>
      </w:r>
    </w:p>
    <w:p>
      <w:pPr>
        <w:jc w:val="center"/>
        <w:pBdr>
          <w:bottom w:val="single" w:sz="12" w:space="4" w:color="1F4E79"/>
        </w:pBdr>
      </w:pPr>
      <w:r>
        <w:rPr>
          <w:rFonts w:ascii="Aptos Display" w:hAnsi="Aptos Display"/>
          <w:color w:val="2E5466"/>
          <w:sz w:val="44"/>
        </w:rPr>
        <w:t>Project Description</w:t>
      </w:r>
    </w:p>
    <w:p>
      <w:pPr>
        <w:jc w:val="center"/>
      </w:pPr>
      <w:r>
        <w:rPr>
          <w:rFonts w:ascii="Aptos" w:hAnsi="Aptos"/>
          <w:i/>
          <w:color w:val="4B5563"/>
          <w:sz w:val="24"/>
        </w:rPr>
        <w:t>A reproducible machine-learning research pipeline for short-horizon US equity trading</w:t>
      </w:r>
    </w:p>
    <w:p/>
    <w:tbl>
      <w:tblPr>
        <w:tblW w:type="auto" w:w="0"/>
        <w:jc w:val="center"/>
        <w:tblLook w:firstColumn="1" w:firstRow="1" w:lastColumn="0" w:lastRow="0" w:noHBand="0" w:noVBand="1" w:val="04A0"/>
      </w:tblPr>
      <w:tblGrid>
        <w:gridCol w:w="3324"/>
        <w:gridCol w:w="3324"/>
        <w:gridCol w:w="3324"/>
      </w:tblGrid>
      <w:tr>
        <w:tc>
          <w:tcPr>
            <w:tcW w:type="dxa" w:w="3324"/>
            <w:shd w:fill="EAF3F8"/>
            <w:tcBorders>
              <w:top w:val="single" w:sz="4" w:space="0" w:color="D9E2EC"/>
              <w:left w:val="single" w:sz="4" w:space="0" w:color="D9E2EC"/>
              <w:bottom w:val="single" w:sz="4" w:space="0" w:color="D9E2EC"/>
              <w:right w:val="single" w:sz="4" w:space="0" w:color="D9E2EC"/>
            </w:tcBorders>
          </w:tcPr>
          <w:p>
            <w:pPr>
              <w:jc w:val="center"/>
            </w:pPr>
            <w:r>
              <w:rPr>
                <w:rFonts w:ascii="Aptos" w:hAnsi="Aptos"/>
                <w:b/>
                <w:color w:val="1F4E79"/>
                <w:sz w:val="17"/>
              </w:rPr>
              <w:t>Current Approach</w:t>
              <w:br/>
            </w:r>
            <w:r>
              <w:rPr>
                <w:rFonts w:ascii="Aptos Display" w:hAnsi="Aptos Display"/>
                <w:b/>
                <w:sz w:val="22"/>
              </w:rPr>
              <w:t>Side + meta-labeling</w:t>
            </w:r>
          </w:p>
        </w:tc>
        <w:tc>
          <w:tcPr>
            <w:tcW w:type="dxa" w:w="3324"/>
            <w:shd w:fill="EAF3F8"/>
            <w:tcBorders>
              <w:top w:val="single" w:sz="4" w:space="0" w:color="D9E2EC"/>
              <w:left w:val="single" w:sz="4" w:space="0" w:color="D9E2EC"/>
              <w:bottom w:val="single" w:sz="4" w:space="0" w:color="D9E2EC"/>
              <w:right w:val="single" w:sz="4" w:space="0" w:color="D9E2EC"/>
            </w:tcBorders>
          </w:tcPr>
          <w:p>
            <w:pPr>
              <w:jc w:val="center"/>
            </w:pPr>
            <w:r>
              <w:rPr>
                <w:rFonts w:ascii="Aptos" w:hAnsi="Aptos"/>
                <w:b/>
                <w:color w:val="1F4E79"/>
                <w:sz w:val="17"/>
              </w:rPr>
              <w:t>Data Unit</w:t>
              <w:br/>
            </w:r>
            <w:r>
              <w:rPr>
                <w:rFonts w:ascii="Aptos Display" w:hAnsi="Aptos Display"/>
                <w:b/>
                <w:sz w:val="22"/>
              </w:rPr>
              <w:t>Minute OHLCV event bars</w:t>
            </w:r>
          </w:p>
        </w:tc>
        <w:tc>
          <w:tcPr>
            <w:tcW w:type="dxa" w:w="3324"/>
            <w:shd w:fill="EAF3F8"/>
            <w:tcBorders>
              <w:top w:val="single" w:sz="4" w:space="0" w:color="D9E2EC"/>
              <w:left w:val="single" w:sz="4" w:space="0" w:color="D9E2EC"/>
              <w:bottom w:val="single" w:sz="4" w:space="0" w:color="D9E2EC"/>
              <w:right w:val="single" w:sz="4" w:space="0" w:color="D9E2EC"/>
            </w:tcBorders>
          </w:tcPr>
          <w:p>
            <w:pPr>
              <w:jc w:val="center"/>
            </w:pPr>
            <w:r>
              <w:rPr>
                <w:rFonts w:ascii="Aptos" w:hAnsi="Aptos"/>
                <w:b/>
                <w:color w:val="1F4E79"/>
                <w:sz w:val="17"/>
              </w:rPr>
              <w:t>Research Focus</w:t>
              <w:br/>
            </w:r>
            <w:r>
              <w:rPr>
                <w:rFonts w:ascii="Aptos Display" w:hAnsi="Aptos Display"/>
                <w:b/>
                <w:sz w:val="22"/>
              </w:rPr>
              <w:t>Trade decisions under costs</w:t>
            </w:r>
          </w:p>
        </w:tc>
      </w:tr>
    </w:tbl>
    <w:p/>
    <w:tbl>
      <w:tblPr>
        <w:tblW w:type="auto" w:w="0"/>
        <w:jc w:val="center"/>
        <w:tblLayout w:type="autofit"/>
        <w:tblLook w:firstColumn="1" w:firstRow="1" w:lastColumn="0" w:lastRow="0" w:noHBand="0" w:noVBand="1" w:val="04A0"/>
      </w:tblPr>
      <w:tblGrid>
        <w:gridCol w:w="9972"/>
      </w:tblGrid>
      <w:tr>
        <w:tc>
          <w:tcPr>
            <w:tcW w:type="dxa" w:w="9972"/>
            <w:shd w:fill="FFF4E5"/>
            <w:tcBorders>
              <w:top w:val="single" w:sz="4" w:space="0" w:color="B7CEDD"/>
              <w:left w:val="single" w:sz="4" w:space="0" w:color="B7CEDD"/>
              <w:bottom w:val="single" w:sz="4" w:space="0" w:color="B7CEDD"/>
              <w:right w:val="single" w:sz="4" w:space="0" w:color="B7CEDD"/>
            </w:tcBorders>
            <w:vAlign w:val="center"/>
          </w:tcPr>
          <w:p>
            <w:pPr>
              <w:spacing w:after="60"/>
            </w:pPr>
            <w:r>
              <w:rPr>
                <w:rFonts w:ascii="Aptos Display" w:hAnsi="Aptos Display"/>
                <w:b/>
                <w:color w:val="9A5A00"/>
                <w:sz w:val="22"/>
              </w:rPr>
              <w:t>Core pipeline clarification</w:t>
            </w:r>
          </w:p>
          <w:p>
            <w:pPr>
              <w:spacing w:after="0"/>
            </w:pPr>
            <w:r>
              <w:rPr>
                <w:rFonts w:ascii="Aptos" w:hAnsi="Aptos"/>
                <w:sz w:val="19"/>
              </w:rPr>
              <w:t>Feature engineering is performed on the full minute-resolution series before event sampling. The sampler is then fitted on training data only, and feature selection/scaling is also fitted on training data only before validation and test artifacts are transformed.</w:t>
            </w:r>
          </w:p>
        </w:tc>
      </w:tr>
    </w:tbl>
    <w:p/>
    <w:p>
      <w:r>
        <w:br w:type="page"/>
      </w:r>
    </w:p>
    <w:p>
      <w:pPr>
        <w:pStyle w:val="Heading1"/>
      </w:pPr>
      <w:r>
        <w:rPr>
          <w:rFonts w:ascii="Aptos Display" w:hAnsi="Aptos Display"/>
          <w:color w:val="1F4E79"/>
        </w:rPr>
        <w:t>1. Project Overview</w:t>
      </w:r>
    </w:p>
    <w:p>
      <w:pPr>
        <w:pStyle w:val="BodyText"/>
      </w:pPr>
      <w:r>
        <w:t>`kvant` is a quant research project for short-horizon US equity trading on minute-level OHLCV data. The current approach follows a Lopez de Prado-inspired side-plus-meta-labeling workflow. Prepared artifacts keep the raw three-class triple-barrier event outcome (`down`, `exit`, `up`), the training pipeline derives a binary primary side target (`down`, `up`), and a meta-label layer decides whether a predicted side should be traded or abstained from.</w:t>
      </w:r>
    </w:p>
    <w:p>
      <w:pPr>
        <w:pStyle w:val="BodyText"/>
      </w:pPr>
      <w:r>
        <w:t>The project is organized around reproducible walk-forward folds. Data preparation creates train, validation, and test artifacts with sampled OHLCV, engineered features, labels, metadata, and diagnostics. Training consumes those artifacts with PyTorch models, validates the artifact contract before running, logs metrics through W&amp;B, and evaluates both model quality and trading-oriented behavior under transaction costs.</w:t>
      </w:r>
    </w:p>
    <w:p>
      <w:pPr>
        <w:pStyle w:val="Heading1"/>
      </w:pPr>
      <w:r>
        <w:rPr>
          <w:rFonts w:ascii="Aptos Display" w:hAnsi="Aptos Display"/>
          <w:color w:val="1F4E79"/>
        </w:rPr>
        <w:t>2. Research Objective</w:t>
      </w:r>
    </w:p>
    <w:p>
      <w:pPr>
        <w:pStyle w:val="BodyText"/>
      </w:pPr>
      <w:r>
        <w:t>The goal is not simply to maximize classification accuracy. The central question is whether a model can identify trade directions and decide when to abstain in a way that improves acted-trade quality and economic outcomes after transaction costs.</w:t>
      </w:r>
    </w:p>
    <w:p>
      <w:pPr>
        <w:pStyle w:val="ListBullet"/>
        <w:spacing w:after="60"/>
        <w:ind w:left="312"/>
      </w:pPr>
      <w:r>
        <w:rPr>
          <w:rFonts w:ascii="Aptos" w:hAnsi="Aptos"/>
          <w:sz w:val="21"/>
        </w:rPr>
        <w:t>Train a primary side model that predicts whether actionable events move down or up.</w:t>
      </w:r>
    </w:p>
    <w:p>
      <w:pPr>
        <w:pStyle w:val="ListBullet"/>
        <w:spacing w:after="60"/>
        <w:ind w:left="312"/>
      </w:pPr>
      <w:r>
        <w:rPr>
          <w:rFonts w:ascii="Aptos" w:hAnsi="Aptos"/>
          <w:sz w:val="21"/>
        </w:rPr>
        <w:t>Use a meta-label decision layer to filter low-confidence or low-quality side predictions.</w:t>
      </w:r>
    </w:p>
    <w:p>
      <w:pPr>
        <w:pStyle w:val="ListBullet"/>
        <w:spacing w:after="60"/>
        <w:ind w:left="312"/>
      </w:pPr>
      <w:r>
        <w:rPr>
          <w:rFonts w:ascii="Aptos" w:hAnsi="Aptos"/>
          <w:sz w:val="21"/>
        </w:rPr>
        <w:t>Evaluate the complete decision pipeline: side quality, meta acceptance, acted trades, abstentions, and cost-aware profit metrics.</w:t>
      </w:r>
    </w:p>
    <w:p>
      <w:pPr>
        <w:pStyle w:val="Heading1"/>
      </w:pPr>
      <w:r>
        <w:rPr>
          <w:rFonts w:ascii="Aptos Display" w:hAnsi="Aptos Display"/>
          <w:color w:val="1F4E79"/>
        </w:rPr>
        <w:t>3. Current Pipeline</w:t>
      </w:r>
    </w:p>
    <w:tbl>
      <w:tblPr>
        <w:tblW w:type="auto" w:w="0"/>
        <w:jc w:val="center"/>
        <w:tblLook w:firstColumn="1" w:firstRow="1" w:lastColumn="0" w:lastRow="0" w:noHBand="0" w:noVBand="1" w:val="04A0"/>
      </w:tblPr>
      <w:tblGrid>
        <w:gridCol w:w="3324"/>
        <w:gridCol w:w="3324"/>
        <w:gridCol w:w="3324"/>
      </w:tblGrid>
      <w:tr>
        <w:tc>
          <w:tcPr>
            <w:tcW w:type="dxa" w:w="3324"/>
            <w:shd w:fill="1F4E79"/>
            <w:tcBorders>
              <w:top w:val="single" w:sz="4" w:space="0" w:color="1F4E79"/>
              <w:left w:val="single" w:sz="4" w:space="0" w:color="1F4E79"/>
              <w:bottom w:val="single" w:sz="4" w:space="0" w:color="1F4E79"/>
              <w:right w:val="single" w:sz="4" w:space="0" w:color="1F4E79"/>
            </w:tcBorders>
          </w:tcPr>
          <w:p>
            <w:pPr>
              <w:jc w:val="left"/>
            </w:pPr>
            <w:r/>
            <w:r>
              <w:rPr>
                <w:rFonts w:ascii="Aptos" w:hAnsi="Aptos"/>
                <w:b/>
                <w:color w:val="FFFFFF"/>
                <w:sz w:val="19"/>
              </w:rPr>
              <w:t>Step</w:t>
            </w:r>
          </w:p>
        </w:tc>
        <w:tc>
          <w:tcPr>
            <w:tcW w:type="dxa" w:w="3324"/>
            <w:shd w:fill="1F4E79"/>
            <w:tcBorders>
              <w:top w:val="single" w:sz="4" w:space="0" w:color="1F4E79"/>
              <w:left w:val="single" w:sz="4" w:space="0" w:color="1F4E79"/>
              <w:bottom w:val="single" w:sz="4" w:space="0" w:color="1F4E79"/>
              <w:right w:val="single" w:sz="4" w:space="0" w:color="1F4E79"/>
            </w:tcBorders>
          </w:tcPr>
          <w:p>
            <w:pPr>
              <w:jc w:val="left"/>
            </w:pPr>
            <w:r/>
            <w:r>
              <w:rPr>
                <w:rFonts w:ascii="Aptos" w:hAnsi="Aptos"/>
                <w:b/>
                <w:color w:val="FFFFFF"/>
                <w:sz w:val="19"/>
              </w:rPr>
              <w:t>Stage</w:t>
            </w:r>
          </w:p>
        </w:tc>
        <w:tc>
          <w:tcPr>
            <w:tcW w:type="dxa" w:w="3324"/>
            <w:shd w:fill="1F4E79"/>
            <w:tcBorders>
              <w:top w:val="single" w:sz="4" w:space="0" w:color="1F4E79"/>
              <w:left w:val="single" w:sz="4" w:space="0" w:color="1F4E79"/>
              <w:bottom w:val="single" w:sz="4" w:space="0" w:color="1F4E79"/>
              <w:right w:val="single" w:sz="4" w:space="0" w:color="1F4E79"/>
            </w:tcBorders>
          </w:tcPr>
          <w:p>
            <w:pPr>
              <w:jc w:val="left"/>
            </w:pPr>
            <w:r/>
            <w:r>
              <w:rPr>
                <w:rFonts w:ascii="Aptos" w:hAnsi="Aptos"/>
                <w:b/>
                <w:color w:val="FFFFFF"/>
                <w:sz w:val="19"/>
              </w:rPr>
              <w:t>Purpose</w:t>
            </w:r>
          </w:p>
        </w:tc>
      </w:tr>
      <w:tr>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1</w:t>
            </w:r>
          </w:p>
        </w:tc>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Load minute OHLCV data</w:t>
            </w:r>
          </w:p>
        </w:tc>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Ticker-level minute bars are loaded and aligned for walk-forward preparation.</w:t>
            </w:r>
          </w:p>
        </w:tc>
      </w:tr>
      <w:tr>
        <w:tc>
          <w:tcPr>
            <w:tcW w:type="dxa" w:w="3324"/>
            <w:shd w:fill="FFFFFF"/>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2</w:t>
            </w:r>
          </w:p>
        </w:tc>
        <w:tc>
          <w:tcPr>
            <w:tcW w:type="dxa" w:w="3324"/>
            <w:shd w:fill="FFFFFF"/>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Feature engineering before sampling</w:t>
            </w:r>
          </w:p>
        </w:tc>
        <w:tc>
          <w:tcPr>
            <w:tcW w:type="dxa" w:w="3324"/>
            <w:shd w:fill="FFFFFF"/>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Technical and paper-inspired features are computed on the full minute-resolution series before bars are sampled.</w:t>
            </w:r>
          </w:p>
        </w:tc>
      </w:tr>
      <w:tr>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3</w:t>
            </w:r>
          </w:p>
        </w:tc>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Train-only sampler fit</w:t>
            </w:r>
          </w:p>
        </w:tc>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The tuned CUSUM sampler is fitted only on training data to target a configurable bars-per-day density.</w:t>
            </w:r>
          </w:p>
        </w:tc>
      </w:tr>
      <w:tr>
        <w:tc>
          <w:tcPr>
            <w:tcW w:type="dxa" w:w="3324"/>
            <w:shd w:fill="FFFFFF"/>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4</w:t>
            </w:r>
          </w:p>
        </w:tc>
        <w:tc>
          <w:tcPr>
            <w:tcW w:type="dxa" w:w="3324"/>
            <w:shd w:fill="FFFFFF"/>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Apply event sampling</w:t>
            </w:r>
          </w:p>
        </w:tc>
        <w:tc>
          <w:tcPr>
            <w:tcW w:type="dxa" w:w="3324"/>
            <w:shd w:fill="FFFFFF"/>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The fitted sampler transforms train, validation, and test splits into event bars.</w:t>
            </w:r>
          </w:p>
        </w:tc>
      </w:tr>
      <w:tr>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5</w:t>
            </w:r>
          </w:p>
        </w:tc>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Triple-barrier labeling</w:t>
            </w:r>
          </w:p>
        </w:tc>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Sampled bars receive canonical event outcomes: down, exit, or up.</w:t>
            </w:r>
          </w:p>
        </w:tc>
      </w:tr>
      <w:tr>
        <w:tc>
          <w:tcPr>
            <w:tcW w:type="dxa" w:w="3324"/>
            <w:shd w:fill="FFFFFF"/>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6</w:t>
            </w:r>
          </w:p>
        </w:tc>
        <w:tc>
          <w:tcPr>
            <w:tcW w:type="dxa" w:w="3324"/>
            <w:shd w:fill="FFFFFF"/>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Train-only feature selection/scaling</w:t>
            </w:r>
          </w:p>
        </w:tc>
        <w:tc>
          <w:tcPr>
            <w:tcW w:type="dxa" w:w="3324"/>
            <w:shd w:fill="FFFFFF"/>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Selection and scaling are fitted on the training fold, then applied to validation and test data.</w:t>
            </w:r>
          </w:p>
        </w:tc>
      </w:tr>
      <w:tr>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7</w:t>
            </w:r>
          </w:p>
        </w:tc>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Primary side model</w:t>
            </w:r>
          </w:p>
        </w:tc>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The model learns binary side prediction on actionable down/up events.</w:t>
            </w:r>
          </w:p>
        </w:tc>
      </w:tr>
      <w:tr>
        <w:tc>
          <w:tcPr>
            <w:tcW w:type="dxa" w:w="3324"/>
            <w:shd w:fill="FFFFFF"/>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8</w:t>
            </w:r>
          </w:p>
        </w:tc>
        <w:tc>
          <w:tcPr>
            <w:tcW w:type="dxa" w:w="3324"/>
            <w:shd w:fill="FFFFFF"/>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Meta-label decision policy</w:t>
            </w:r>
          </w:p>
        </w:tc>
        <w:tc>
          <w:tcPr>
            <w:tcW w:type="dxa" w:w="3324"/>
            <w:shd w:fill="FFFFFF"/>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A logistic meta-label model decides which side predictions should become trades.</w:t>
            </w:r>
          </w:p>
        </w:tc>
      </w:tr>
      <w:tr>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9</w:t>
            </w:r>
          </w:p>
        </w:tc>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Trading evaluation</w:t>
            </w:r>
          </w:p>
        </w:tc>
        <w:tc>
          <w:tcPr>
            <w:tcW w:type="dxa" w:w="3324"/>
            <w:shd w:fill="F8FAFC"/>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Reports include side, meta, decision, execution, and transaction-cost-aware economics metrics.</w:t>
            </w:r>
          </w:p>
        </w:tc>
      </w:tr>
    </w:tbl>
    <w:p>
      <w:pPr>
        <w:pStyle w:val="Heading1"/>
      </w:pPr>
      <w:r>
        <w:rPr>
          <w:rFonts w:ascii="Aptos Display" w:hAnsi="Aptos Display"/>
          <w:color w:val="1F4E79"/>
        </w:rPr>
        <w:t>4. Leakage Controls</w:t>
      </w:r>
    </w:p>
    <w:p>
      <w:pPr>
        <w:pStyle w:val="BodyText"/>
      </w:pPr>
      <w:r>
        <w:t>The pipeline is designed to avoid fitting preprocessing decisions on validation or test data. The most important control is that training data defines the learned transformation state, while validation and test data are transformed using that state.</w:t>
      </w:r>
    </w:p>
    <w:p>
      <w:pPr>
        <w:pStyle w:val="ListBullet"/>
        <w:spacing w:after="60"/>
        <w:ind w:left="312"/>
      </w:pPr>
      <w:r>
        <w:rPr>
          <w:rFonts w:ascii="Aptos" w:hAnsi="Aptos"/>
          <w:sz w:val="21"/>
        </w:rPr>
        <w:t>Feature engineering is calculated before sampling so event bars inherit information from the same minute-level feature definitions.</w:t>
      </w:r>
    </w:p>
    <w:p>
      <w:pPr>
        <w:pStyle w:val="ListBullet"/>
        <w:spacing w:after="60"/>
        <w:ind w:left="312"/>
      </w:pPr>
      <w:r>
        <w:rPr>
          <w:rFonts w:ascii="Aptos" w:hAnsi="Aptos"/>
          <w:sz w:val="21"/>
        </w:rPr>
        <w:t>Sampler thresholds are fitted on the training split only.</w:t>
      </w:r>
    </w:p>
    <w:p>
      <w:pPr>
        <w:pStyle w:val="ListBullet"/>
        <w:spacing w:after="60"/>
        <w:ind w:left="312"/>
      </w:pPr>
      <w:r>
        <w:rPr>
          <w:rFonts w:ascii="Aptos" w:hAnsi="Aptos"/>
          <w:sz w:val="21"/>
        </w:rPr>
        <w:t>Feature selection and scaling are fitted on training data only and then reused for validation and test folds.</w:t>
      </w:r>
    </w:p>
    <w:p>
      <w:pPr>
        <w:pStyle w:val="ListBullet"/>
        <w:spacing w:after="60"/>
        <w:ind w:left="312"/>
      </w:pPr>
      <w:r>
        <w:rPr>
          <w:rFonts w:ascii="Aptos" w:hAnsi="Aptos"/>
          <w:sz w:val="21"/>
        </w:rPr>
        <w:t>Training validates the prepared artifact contract before model fitting begins.</w:t>
      </w:r>
    </w:p>
    <w:p>
      <w:pPr>
        <w:pStyle w:val="Heading1"/>
      </w:pPr>
      <w:r>
        <w:rPr>
          <w:rFonts w:ascii="Aptos Display" w:hAnsi="Aptos Display"/>
          <w:color w:val="1F4E79"/>
        </w:rPr>
        <w:t>5. Evaluation Design</w:t>
      </w:r>
    </w:p>
    <w:p>
      <w:pPr>
        <w:pStyle w:val="BodyText"/>
      </w:pPr>
      <w:r>
        <w:t>Evaluation is organized around the full trading decision process rather than a single aggregate score. This makes it easier to see whether errors come from side prediction, meta-label filtering, execution behavior, or transaction-cost assumptions.</w:t>
      </w:r>
    </w:p>
    <w:tbl>
      <w:tblPr>
        <w:tblW w:type="auto" w:w="0"/>
        <w:jc w:val="center"/>
        <w:tblLook w:firstColumn="1" w:firstRow="1" w:lastColumn="0" w:lastRow="0" w:noHBand="0" w:noVBand="1" w:val="04A0"/>
      </w:tblPr>
      <w:tblGrid>
        <w:gridCol w:w="4986"/>
        <w:gridCol w:w="4986"/>
      </w:tblGrid>
      <w:tr>
        <w:tc>
          <w:tcPr>
            <w:tcW w:type="dxa" w:w="4986"/>
            <w:shd w:fill="2E5466"/>
            <w:tcBorders>
              <w:top w:val="single" w:sz="4" w:space="0" w:color="2E5466"/>
              <w:left w:val="single" w:sz="4" w:space="0" w:color="2E5466"/>
              <w:bottom w:val="single" w:sz="4" w:space="0" w:color="2E5466"/>
              <w:right w:val="single" w:sz="4" w:space="0" w:color="2E5466"/>
            </w:tcBorders>
          </w:tcPr>
          <w:p>
            <w:pPr>
              <w:jc w:val="left"/>
            </w:pPr>
            <w:r/>
            <w:r>
              <w:rPr>
                <w:rFonts w:ascii="Aptos" w:hAnsi="Aptos"/>
                <w:b/>
                <w:color w:val="FFFFFF"/>
                <w:sz w:val="19"/>
              </w:rPr>
              <w:t>Metric Group</w:t>
            </w:r>
          </w:p>
        </w:tc>
        <w:tc>
          <w:tcPr>
            <w:tcW w:type="dxa" w:w="4986"/>
            <w:shd w:fill="2E5466"/>
            <w:tcBorders>
              <w:top w:val="single" w:sz="4" w:space="0" w:color="2E5466"/>
              <w:left w:val="single" w:sz="4" w:space="0" w:color="2E5466"/>
              <w:bottom w:val="single" w:sz="4" w:space="0" w:color="2E5466"/>
              <w:right w:val="single" w:sz="4" w:space="0" w:color="2E5466"/>
            </w:tcBorders>
          </w:tcPr>
          <w:p>
            <w:pPr>
              <w:jc w:val="left"/>
            </w:pPr>
            <w:r/>
            <w:r>
              <w:rPr>
                <w:rFonts w:ascii="Aptos" w:hAnsi="Aptos"/>
                <w:b/>
                <w:color w:val="FFFFFF"/>
                <w:sz w:val="19"/>
              </w:rPr>
              <w:t>What It Answers</w:t>
            </w:r>
          </w:p>
        </w:tc>
      </w:tr>
      <w:tr>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Side model</w:t>
            </w:r>
          </w:p>
        </w:tc>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Accuracy, balanced accuracy, class behavior before meta filtering</w:t>
            </w:r>
          </w:p>
        </w:tc>
      </w:tr>
      <w:tr>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Meta model</w:t>
            </w:r>
          </w:p>
        </w:tc>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Acceptance quality, TAKE probabilities, calibration-like decision behavior</w:t>
            </w:r>
          </w:p>
        </w:tc>
      </w:tr>
      <w:tr>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Decision layer</w:t>
            </w:r>
          </w:p>
        </w:tc>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Acted versus abstained samples and quality of accepted predictions</w:t>
            </w:r>
          </w:p>
        </w:tc>
      </w:tr>
      <w:tr>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Execution</w:t>
            </w:r>
          </w:p>
        </w:tc>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Long/short behavior, per-ticker breakdowns, trade frequency</w:t>
            </w:r>
          </w:p>
        </w:tc>
      </w:tr>
      <w:tr>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Economics</w:t>
            </w:r>
          </w:p>
        </w:tc>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Gross/net profit, transaction-cost impact, Sharpe-like and portfolio metrics</w:t>
            </w:r>
          </w:p>
        </w:tc>
      </w:tr>
    </w:tbl>
    <w:p>
      <w:pPr>
        <w:pStyle w:val="Heading1"/>
      </w:pPr>
      <w:r>
        <w:rPr>
          <w:rFonts w:ascii="Aptos Display" w:hAnsi="Aptos Display"/>
          <w:color w:val="1F4E79"/>
        </w:rPr>
        <w:t>6. Reproducibility</w:t>
      </w:r>
    </w:p>
    <w:p>
      <w:pPr>
        <w:pStyle w:val="BodyText"/>
      </w:pPr>
      <w:r>
        <w:t>The cleaned project keeps source code, tests, documentation, configuration, lockfile, and reports under version control. Runtime outputs such as W&amp;B runs, generated docs, prepared folds, caches, and checkpoints are intentionally ignored so the repository stays small and reproducible.</w:t>
      </w:r>
    </w:p>
    <w:p>
      <w:pPr>
        <w:pStyle w:val="ListBullet"/>
        <w:spacing w:after="60"/>
        <w:ind w:left="312"/>
      </w:pPr>
      <w:r>
        <w:rPr>
          <w:rFonts w:ascii="Aptos" w:hAnsi="Aptos"/>
          <w:sz w:val="21"/>
        </w:rPr>
        <w:t>Install and run commands through `uv` using the committed `uv.lock`.</w:t>
      </w:r>
    </w:p>
    <w:p>
      <w:pPr>
        <w:pStyle w:val="ListBullet"/>
        <w:spacing w:after="60"/>
        <w:ind w:left="312"/>
      </w:pPr>
      <w:r>
        <w:rPr>
          <w:rFonts w:ascii="Aptos" w:hAnsi="Aptos"/>
          <w:sz w:val="21"/>
        </w:rPr>
        <w:t>Regenerate prepared folds with `uv run python -m kvant.ml_prepare_data.prepare_experiment`.</w:t>
      </w:r>
    </w:p>
    <w:p>
      <w:pPr>
        <w:pStyle w:val="ListBullet"/>
        <w:spacing w:after="60"/>
        <w:ind w:left="312"/>
      </w:pPr>
      <w:r>
        <w:rPr>
          <w:rFonts w:ascii="Aptos" w:hAnsi="Aptos"/>
          <w:sz w:val="21"/>
        </w:rPr>
        <w:t>Run training against an explicit `--exp-dir` or `--cv-manifest` after preparation.</w:t>
      </w:r>
    </w:p>
    <w:p>
      <w:pPr>
        <w:pStyle w:val="ListBullet"/>
        <w:spacing w:after="60"/>
        <w:ind w:left="312"/>
      </w:pPr>
      <w:r>
        <w:rPr>
          <w:rFonts w:ascii="Aptos" w:hAnsi="Aptos"/>
          <w:sz w:val="21"/>
        </w:rPr>
        <w:t>Use `uv run pytest tests/` and `uv run ruff check .` as the main quality gates.</w:t>
      </w:r>
    </w:p>
    <w:p>
      <w:pPr>
        <w:pStyle w:val="Heading1"/>
      </w:pPr>
      <w:r>
        <w:rPr>
          <w:rFonts w:ascii="Aptos Display" w:hAnsi="Aptos Display"/>
          <w:color w:val="1F4E79"/>
        </w:rPr>
        <w:t>7. Project Structure</w:t>
      </w:r>
    </w:p>
    <w:tbl>
      <w:tblPr>
        <w:tblW w:type="auto" w:w="0"/>
        <w:jc w:val="center"/>
        <w:tblLook w:firstColumn="1" w:firstRow="1" w:lastColumn="0" w:lastRow="0" w:noHBand="0" w:noVBand="1" w:val="04A0"/>
      </w:tblPr>
      <w:tblGrid>
        <w:gridCol w:w="4986"/>
        <w:gridCol w:w="4986"/>
      </w:tblGrid>
      <w:tr>
        <w:tc>
          <w:tcPr>
            <w:tcW w:type="dxa" w:w="4986"/>
            <w:shd w:fill="1F4E79"/>
            <w:tcBorders>
              <w:top w:val="single" w:sz="4" w:space="0" w:color="1F4E79"/>
              <w:left w:val="single" w:sz="4" w:space="0" w:color="1F4E79"/>
              <w:bottom w:val="single" w:sz="4" w:space="0" w:color="1F4E79"/>
              <w:right w:val="single" w:sz="4" w:space="0" w:color="1F4E79"/>
            </w:tcBorders>
          </w:tcPr>
          <w:p>
            <w:pPr>
              <w:jc w:val="left"/>
            </w:pPr>
            <w:r/>
            <w:r>
              <w:rPr>
                <w:rFonts w:ascii="Aptos" w:hAnsi="Aptos"/>
                <w:b/>
                <w:color w:val="FFFFFF"/>
                <w:sz w:val="19"/>
              </w:rPr>
              <w:t>Path</w:t>
            </w:r>
          </w:p>
        </w:tc>
        <w:tc>
          <w:tcPr>
            <w:tcW w:type="dxa" w:w="4986"/>
            <w:shd w:fill="1F4E79"/>
            <w:tcBorders>
              <w:top w:val="single" w:sz="4" w:space="0" w:color="1F4E79"/>
              <w:left w:val="single" w:sz="4" w:space="0" w:color="1F4E79"/>
              <w:bottom w:val="single" w:sz="4" w:space="0" w:color="1F4E79"/>
              <w:right w:val="single" w:sz="4" w:space="0" w:color="1F4E79"/>
            </w:tcBorders>
          </w:tcPr>
          <w:p>
            <w:pPr>
              <w:jc w:val="left"/>
            </w:pPr>
            <w:r/>
            <w:r>
              <w:rPr>
                <w:rFonts w:ascii="Aptos" w:hAnsi="Aptos"/>
                <w:b/>
                <w:color w:val="FFFFFF"/>
                <w:sz w:val="19"/>
              </w:rPr>
              <w:t>Role</w:t>
            </w:r>
          </w:p>
        </w:tc>
      </w:tr>
      <w:tr>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src/kvant/ml_prepare_data/</w:t>
            </w:r>
          </w:p>
        </w:tc>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Data loading, feature engineering, sampling, labeling, reporting, and fold preparation.</w:t>
            </w:r>
          </w:p>
        </w:tc>
      </w:tr>
      <w:tr>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src/kvant/ml_framework/</w:t>
            </w:r>
          </w:p>
        </w:tc>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Model definitions, training scripts, decision policy, logging, and evaluation metrics.</w:t>
            </w:r>
          </w:p>
        </w:tc>
      </w:tr>
      <w:tr>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tests/</w:t>
            </w:r>
          </w:p>
        </w:tc>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Unit tests for data preparation, metrics, training script behavior, and logging utilities.</w:t>
            </w:r>
          </w:p>
        </w:tc>
      </w:tr>
      <w:tr>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docs/</w:t>
            </w:r>
          </w:p>
        </w:tc>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MkDocs documentation source and architecture-generation utilities.</w:t>
            </w:r>
          </w:p>
        </w:tc>
      </w:tr>
      <w:tr>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reports/</w:t>
            </w:r>
          </w:p>
        </w:tc>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Project descriptions, experiment notes, and analysis documents.</w:t>
            </w:r>
          </w:p>
        </w:tc>
      </w:tr>
      <w:tr>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sz w:val="19"/>
              </w:rPr>
              <w:t>references/</w:t>
            </w:r>
          </w:p>
        </w:tc>
        <w:tc>
          <w:tcPr>
            <w:tcW w:type="dxa" w:w="4986"/>
            <w:tcBorders>
              <w:top w:val="single" w:sz="4" w:space="0" w:color="D9E2EC"/>
              <w:left w:val="single" w:sz="4" w:space="0" w:color="D9E2EC"/>
              <w:bottom w:val="single" w:sz="4" w:space="0" w:color="D9E2EC"/>
              <w:right w:val="single" w:sz="4" w:space="0" w:color="D9E2EC"/>
            </w:tcBorders>
          </w:tcPr>
          <w:p>
            <w:pPr>
              <w:jc w:val="left"/>
            </w:pPr>
            <w:r/>
            <w:r>
              <w:rPr>
                <w:rFonts w:ascii="Aptos" w:hAnsi="Aptos"/>
                <w:b w:val="0"/>
                <w:sz w:val="19"/>
              </w:rPr>
              <w:t>Reference papers used by the project.</w:t>
            </w:r>
          </w:p>
        </w:tc>
      </w:tr>
    </w:tbl>
    <w:p>
      <w:pPr>
        <w:pStyle w:val="Heading1"/>
      </w:pPr>
      <w:r>
        <w:rPr>
          <w:rFonts w:ascii="Aptos Display" w:hAnsi="Aptos Display"/>
          <w:color w:val="1F4E79"/>
        </w:rPr>
        <w:t>8. Current Status</w:t>
      </w:r>
    </w:p>
    <w:p>
      <w:pPr>
        <w:pStyle w:val="BodyText"/>
      </w:pPr>
      <w:r>
        <w:t>The project now uses a single root folder, a committed dependency lockfile, and ignored generated artifacts. The documented approach reflects the current side-plus-meta-labeling design and explicitly separates reproducible source files from regenerated outputs.</w:t>
      </w:r>
    </w:p>
    <w:tbl>
      <w:tblPr>
        <w:tblW w:type="auto" w:w="0"/>
        <w:jc w:val="center"/>
        <w:tblLayout w:type="autofit"/>
        <w:tblLook w:firstColumn="1" w:firstRow="1" w:lastColumn="0" w:lastRow="0" w:noHBand="0" w:noVBand="1" w:val="04A0"/>
      </w:tblPr>
      <w:tblGrid>
        <w:gridCol w:w="9972"/>
      </w:tblGrid>
      <w:tr>
        <w:tc>
          <w:tcPr>
            <w:tcW w:type="dxa" w:w="9972"/>
            <w:shd w:fill="EAF3F8"/>
            <w:tcBorders>
              <w:top w:val="single" w:sz="4" w:space="0" w:color="B7CEDD"/>
              <w:left w:val="single" w:sz="4" w:space="0" w:color="B7CEDD"/>
              <w:bottom w:val="single" w:sz="4" w:space="0" w:color="B7CEDD"/>
              <w:right w:val="single" w:sz="4" w:space="0" w:color="B7CEDD"/>
            </w:tcBorders>
            <w:vAlign w:val="center"/>
          </w:tcPr>
          <w:p>
            <w:pPr>
              <w:spacing w:after="60"/>
            </w:pPr>
            <w:r>
              <w:rPr>
                <w:rFonts w:ascii="Aptos Display" w:hAnsi="Aptos Display"/>
                <w:b/>
                <w:color w:val="1F4E79"/>
                <w:sz w:val="22"/>
              </w:rPr>
              <w:t>Practical reading guide</w:t>
            </w:r>
          </w:p>
          <w:p>
            <w:pPr>
              <w:spacing w:after="0"/>
            </w:pPr>
            <w:r>
              <w:rPr>
                <w:rFonts w:ascii="Aptos" w:hAnsi="Aptos"/>
                <w:sz w:val="19"/>
              </w:rPr>
              <w:t>Read Sections 1-3 for the conceptual pipeline, Section 4 for leakage controls, Section 5 for evaluation, and Section 6 for how to reproduce the project from a clean checkout.</w:t>
            </w:r>
          </w:p>
        </w:tc>
      </w:tr>
    </w:tbl>
    <w:p/>
    <w:sectPr w:rsidR="00FC693F" w:rsidRPr="0006063C" w:rsidSect="00034616">
      <w:headerReference w:type="default" r:id="rId9"/>
      <w:footerReference w:type="default" r:id="rId10"/>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Short-horizon equity trading research pipeline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Kvant Project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Kvant Project Description</dc:title>
  <dc:subject>Machine-learning research pipeline for short-horizon equity trading</dc:subject>
  <dc:creator>Kvant project team</dc:creator>
  <cp:keywords/>
  <dc:description>Generated with python-docx to ensure a clean, openable Word document.</dc:description>
  <cp:lastModifiedBy/>
  <cp:revision>1</cp:revision>
  <dcterms:created xsi:type="dcterms:W3CDTF">2013-12-23T23:15:00Z</dcterms:created>
  <dcterms:modified xsi:type="dcterms:W3CDTF">2013-12-23T23:15:00Z</dcterms:modified>
  <cp:category/>
</cp:coreProperties>
</file>